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86" w:rsidRPr="00DB4D1E" w:rsidRDefault="000A6D86" w:rsidP="000A6D86">
      <w:pPr>
        <w:pStyle w:val="1"/>
        <w:ind w:left="360"/>
        <w:jc w:val="right"/>
        <w:rPr>
          <w:szCs w:val="28"/>
        </w:rPr>
      </w:pPr>
      <w:bookmarkStart w:id="0" w:name="_Toc401947910"/>
      <w:r w:rsidRPr="00DB4D1E">
        <w:rPr>
          <w:szCs w:val="28"/>
        </w:rPr>
        <w:t xml:space="preserve">ПРИЛОЖЕНИЕ </w:t>
      </w:r>
      <w:bookmarkEnd w:id="0"/>
      <w:r w:rsidR="00403C55" w:rsidRPr="00DB4D1E">
        <w:rPr>
          <w:szCs w:val="28"/>
        </w:rPr>
        <w:t>А</w:t>
      </w:r>
    </w:p>
    <w:p w:rsidR="00403C55" w:rsidRPr="00DB4D1E" w:rsidRDefault="00403C55" w:rsidP="00403C55"/>
    <w:p w:rsidR="000A6D86" w:rsidRPr="00DB4D1E" w:rsidRDefault="000F571E" w:rsidP="001F5957">
      <w:pPr>
        <w:spacing w:line="360" w:lineRule="auto"/>
        <w:ind w:firstLine="0"/>
        <w:jc w:val="left"/>
        <w:rPr>
          <w:b/>
          <w:szCs w:val="28"/>
        </w:rPr>
      </w:pPr>
      <w:r>
        <w:rPr>
          <w:b/>
          <w:sz w:val="27"/>
          <w:szCs w:val="27"/>
        </w:rPr>
        <w:t>Таблица А</w:t>
      </w:r>
      <w:r w:rsidR="001D5FA8">
        <w:rPr>
          <w:b/>
          <w:sz w:val="27"/>
          <w:szCs w:val="27"/>
        </w:rPr>
        <w:t>.</w:t>
      </w:r>
      <w:r>
        <w:rPr>
          <w:b/>
          <w:sz w:val="27"/>
          <w:szCs w:val="27"/>
        </w:rPr>
        <w:t>1 – Перечень основных нормативно-правовых документов</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962"/>
        <w:gridCol w:w="9639"/>
      </w:tblGrid>
      <w:tr w:rsidR="00684B26" w:rsidRPr="001D5FA8" w:rsidTr="001D5FA8">
        <w:trPr>
          <w:tblHeader/>
        </w:trPr>
        <w:tc>
          <w:tcPr>
            <w:tcW w:w="4962" w:type="dxa"/>
            <w:shd w:val="clear" w:color="auto" w:fill="FFFFFF" w:themeFill="background1"/>
            <w:vAlign w:val="center"/>
          </w:tcPr>
          <w:p w:rsidR="000A6D86" w:rsidRPr="001D5FA8" w:rsidRDefault="000A6D86" w:rsidP="001D5FA8">
            <w:pPr>
              <w:spacing w:after="240"/>
              <w:ind w:right="210" w:firstLine="0"/>
              <w:jc w:val="center"/>
              <w:rPr>
                <w:b/>
                <w:sz w:val="24"/>
                <w:szCs w:val="24"/>
              </w:rPr>
            </w:pPr>
            <w:r w:rsidRPr="001D5FA8">
              <w:rPr>
                <w:b/>
                <w:sz w:val="24"/>
                <w:szCs w:val="24"/>
              </w:rPr>
              <w:t>Реквизиты документов</w:t>
            </w:r>
          </w:p>
        </w:tc>
        <w:tc>
          <w:tcPr>
            <w:tcW w:w="9639" w:type="dxa"/>
            <w:shd w:val="clear" w:color="auto" w:fill="FFFFFF" w:themeFill="background1"/>
            <w:vAlign w:val="center"/>
          </w:tcPr>
          <w:p w:rsidR="000A6D86" w:rsidRPr="001D5FA8" w:rsidRDefault="000A6D86" w:rsidP="001D5FA8">
            <w:pPr>
              <w:spacing w:after="240"/>
              <w:ind w:left="283" w:firstLine="0"/>
              <w:jc w:val="center"/>
              <w:rPr>
                <w:b/>
                <w:sz w:val="24"/>
                <w:szCs w:val="24"/>
              </w:rPr>
            </w:pPr>
            <w:r w:rsidRPr="001D5FA8">
              <w:rPr>
                <w:b/>
                <w:sz w:val="24"/>
                <w:szCs w:val="24"/>
              </w:rPr>
              <w:t>Краткое содержание</w:t>
            </w:r>
          </w:p>
        </w:tc>
      </w:tr>
      <w:tr w:rsidR="00684B26" w:rsidRPr="001D5FA8" w:rsidTr="001D5FA8">
        <w:tc>
          <w:tcPr>
            <w:tcW w:w="14601" w:type="dxa"/>
            <w:gridSpan w:val="2"/>
            <w:shd w:val="clear" w:color="auto" w:fill="FFFFFF" w:themeFill="background1"/>
          </w:tcPr>
          <w:p w:rsidR="000A6D86" w:rsidRPr="001D5FA8" w:rsidRDefault="000A6D86" w:rsidP="001D5FA8">
            <w:pPr>
              <w:spacing w:after="240"/>
              <w:ind w:right="210" w:firstLine="0"/>
              <w:jc w:val="left"/>
              <w:rPr>
                <w:b/>
                <w:sz w:val="24"/>
                <w:szCs w:val="24"/>
              </w:rPr>
            </w:pPr>
            <w:r w:rsidRPr="001D5FA8">
              <w:rPr>
                <w:b/>
                <w:sz w:val="24"/>
                <w:szCs w:val="24"/>
              </w:rPr>
              <w:t>Нормативные правовые акты, устанавливающие общие принципы бюджетного, гражданского, трудового и налогового законодательства</w:t>
            </w:r>
          </w:p>
        </w:tc>
      </w:tr>
      <w:tr w:rsidR="00684B26" w:rsidRPr="001D5FA8" w:rsidTr="001D5FA8">
        <w:tc>
          <w:tcPr>
            <w:tcW w:w="4962"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Бюджетный кодекс Российской Федерации </w:t>
            </w:r>
          </w:p>
        </w:tc>
        <w:tc>
          <w:tcPr>
            <w:tcW w:w="9639" w:type="dxa"/>
            <w:shd w:val="clear" w:color="auto" w:fill="FFFFFF" w:themeFill="background1"/>
          </w:tcPr>
          <w:p w:rsidR="000A6D86" w:rsidRPr="001D5FA8" w:rsidRDefault="000A6D86" w:rsidP="001D5FA8">
            <w:pPr>
              <w:pStyle w:val="ConsPlusNormal"/>
              <w:tabs>
                <w:tab w:val="num" w:pos="720"/>
              </w:tabs>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roofErr w:type="gramEnd"/>
          </w:p>
        </w:tc>
      </w:tr>
      <w:tr w:rsidR="00684B26" w:rsidRPr="001D5FA8" w:rsidTr="001D5FA8">
        <w:tc>
          <w:tcPr>
            <w:tcW w:w="4962"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Гражданский кодекс Российской Федерации</w:t>
            </w:r>
          </w:p>
        </w:tc>
        <w:tc>
          <w:tcPr>
            <w:tcW w:w="9639"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В частности ГК РФ раскрывает понятие юридических лиц, их виды, определяет их имущественные права как хозяйствующих субъектов. Устанавливает порядок правового регулирования договоров возмездного оказания услуг, купли – продажи, аренды, передачи имущества в безвозмездное пользование и т.п.</w:t>
            </w:r>
          </w:p>
        </w:tc>
      </w:tr>
      <w:tr w:rsidR="00684B26" w:rsidRPr="001D5FA8" w:rsidTr="001D5FA8">
        <w:tc>
          <w:tcPr>
            <w:tcW w:w="4962"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Налоговый кодекс Российской Федерации </w:t>
            </w:r>
          </w:p>
        </w:tc>
        <w:tc>
          <w:tcPr>
            <w:tcW w:w="9639"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Регулирует отношения по установлению, введению и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их должностных лиц и привлечения к ответственности за совершение налогового правонарушения, устанавливает налоговые льготы.</w:t>
            </w:r>
          </w:p>
        </w:tc>
      </w:tr>
      <w:tr w:rsidR="00684B26" w:rsidRPr="001D5FA8" w:rsidTr="001D5FA8">
        <w:tc>
          <w:tcPr>
            <w:tcW w:w="4962"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Трудовой кодекс Российской Федерации</w:t>
            </w:r>
          </w:p>
        </w:tc>
        <w:tc>
          <w:tcPr>
            <w:tcW w:w="9639"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Регулирует трудовые и иные непосредственно связанные с ними отношения.</w:t>
            </w:r>
          </w:p>
        </w:tc>
      </w:tr>
      <w:tr w:rsidR="00684B26" w:rsidRPr="001D5FA8" w:rsidTr="001D5FA8">
        <w:tc>
          <w:tcPr>
            <w:tcW w:w="14601" w:type="dxa"/>
            <w:gridSpan w:val="2"/>
            <w:shd w:val="clear" w:color="auto" w:fill="FFFFFF" w:themeFill="background1"/>
          </w:tcPr>
          <w:p w:rsidR="000A6D86" w:rsidRPr="001D5FA8" w:rsidRDefault="000A6D86" w:rsidP="001D5FA8">
            <w:pPr>
              <w:spacing w:after="240"/>
              <w:ind w:right="210" w:firstLine="0"/>
              <w:jc w:val="left"/>
              <w:rPr>
                <w:b/>
                <w:sz w:val="24"/>
                <w:szCs w:val="24"/>
              </w:rPr>
            </w:pPr>
            <w:r w:rsidRPr="001D5FA8">
              <w:rPr>
                <w:b/>
                <w:sz w:val="24"/>
                <w:szCs w:val="24"/>
              </w:rPr>
              <w:t xml:space="preserve">Нормативные правовые акты, регулирующие деятельность государственных учреждений и обеспечение открытости и доступности документов об </w:t>
            </w:r>
            <w:proofErr w:type="spellStart"/>
            <w:r w:rsidRPr="001D5FA8">
              <w:rPr>
                <w:b/>
                <w:sz w:val="24"/>
                <w:szCs w:val="24"/>
              </w:rPr>
              <w:t>ихдеятельности</w:t>
            </w:r>
            <w:proofErr w:type="spellEnd"/>
            <w:r w:rsidRPr="001D5FA8">
              <w:rPr>
                <w:b/>
                <w:sz w:val="24"/>
                <w:szCs w:val="24"/>
              </w:rPr>
              <w:t xml:space="preserve"> </w:t>
            </w:r>
          </w:p>
        </w:tc>
      </w:tr>
      <w:tr w:rsidR="00684B26" w:rsidRPr="001D5FA8" w:rsidTr="001D5FA8">
        <w:tc>
          <w:tcPr>
            <w:tcW w:w="4962"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Федеральный закон РФ от 12.01.1996 </w:t>
            </w:r>
            <w:r w:rsidR="00BC5DEF" w:rsidRPr="001D5FA8">
              <w:rPr>
                <w:rFonts w:ascii="Times New Roman" w:hAnsi="Times New Roman" w:cs="Times New Roman"/>
                <w:sz w:val="24"/>
                <w:szCs w:val="24"/>
              </w:rPr>
              <w:t xml:space="preserve">№ </w:t>
            </w:r>
            <w:r w:rsidRPr="001D5FA8">
              <w:rPr>
                <w:rFonts w:ascii="Times New Roman" w:hAnsi="Times New Roman" w:cs="Times New Roman"/>
                <w:sz w:val="24"/>
                <w:szCs w:val="24"/>
              </w:rPr>
              <w:t>7-ФЗ «О некоммерческих организациях»</w:t>
            </w:r>
          </w:p>
        </w:tc>
        <w:tc>
          <w:tcPr>
            <w:tcW w:w="9639" w:type="dxa"/>
            <w:shd w:val="clear" w:color="auto" w:fill="FFFFFF" w:themeFill="background1"/>
          </w:tcPr>
          <w:p w:rsidR="000A6D86" w:rsidRPr="001D5FA8" w:rsidRDefault="000A6D86"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Закон определяет правовое положение, порядок создания, деятельности, реорганизации и ликвидации </w:t>
            </w:r>
            <w:hyperlink r:id="rId8" w:history="1">
              <w:r w:rsidRPr="001D5FA8">
                <w:rPr>
                  <w:rFonts w:ascii="Times New Roman" w:hAnsi="Times New Roman" w:cs="Times New Roman"/>
                  <w:sz w:val="24"/>
                  <w:szCs w:val="24"/>
                </w:rPr>
                <w:t>некоммерческих организаций</w:t>
              </w:r>
            </w:hyperlink>
            <w:r w:rsidRPr="001D5FA8">
              <w:rPr>
                <w:rFonts w:ascii="Times New Roman" w:hAnsi="Times New Roman" w:cs="Times New Roman"/>
                <w:sz w:val="24"/>
                <w:szCs w:val="24"/>
              </w:rPr>
              <w:t xml:space="preserve">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Федеральный закон РФ от 03.11.2006 № 174-ФЗ «Об автономных учреждениях»</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Закон определяет в соответствии с Гражданским </w:t>
            </w:r>
            <w:hyperlink r:id="rId9" w:history="1">
              <w:r w:rsidRPr="001D5FA8">
                <w:rPr>
                  <w:rFonts w:ascii="Times New Roman" w:hAnsi="Times New Roman" w:cs="Times New Roman"/>
                  <w:sz w:val="24"/>
                  <w:szCs w:val="24"/>
                </w:rPr>
                <w:t>кодексом</w:t>
              </w:r>
            </w:hyperlink>
            <w:r w:rsidRPr="001D5FA8">
              <w:rPr>
                <w:rFonts w:ascii="Times New Roman" w:hAnsi="Times New Roman" w:cs="Times New Roman"/>
                <w:sz w:val="24"/>
                <w:szCs w:val="24"/>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w:t>
            </w:r>
            <w:proofErr w:type="spellStart"/>
            <w:r w:rsidRPr="001D5FA8">
              <w:rPr>
                <w:rFonts w:ascii="Times New Roman" w:hAnsi="Times New Roman" w:cs="Times New Roman"/>
                <w:sz w:val="24"/>
                <w:szCs w:val="24"/>
              </w:rPr>
              <w:t>посвоим</w:t>
            </w:r>
            <w:proofErr w:type="spellEnd"/>
            <w:r w:rsidRPr="001D5FA8">
              <w:rPr>
                <w:rFonts w:ascii="Times New Roman" w:hAnsi="Times New Roman" w:cs="Times New Roman"/>
                <w:sz w:val="24"/>
                <w:szCs w:val="24"/>
              </w:rPr>
              <w:t xml:space="preserve"> обязательствам</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Федеральный закон от 06.04.2011 № 63-ФЗ «Об электронной подписи»</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Порядок устанавливает правила предоставления и размещения информации (сведений) о государственных (муниципальных) учреждениях и их обособленных структурных подразделениях, которым утверждено государственное (муниципальное) задание, на официальном сайте в сети Интернет, а также правила ведения указанного официального сайта</w:t>
            </w:r>
          </w:p>
        </w:tc>
      </w:tr>
      <w:tr w:rsidR="000F571E" w:rsidRPr="001D5FA8" w:rsidTr="001D5FA8">
        <w:tc>
          <w:tcPr>
            <w:tcW w:w="4962" w:type="dxa"/>
            <w:shd w:val="clear" w:color="auto" w:fill="FFFFFF" w:themeFill="background1"/>
          </w:tcPr>
          <w:p w:rsidR="000F571E" w:rsidRPr="002B4087" w:rsidRDefault="000F571E" w:rsidP="005C0B4E">
            <w:pPr>
              <w:pStyle w:val="ConsPlusNormal"/>
              <w:spacing w:after="60"/>
              <w:ind w:firstLine="0"/>
              <w:rPr>
                <w:rFonts w:ascii="Times New Roman" w:hAnsi="Times New Roman" w:cs="Times New Roman"/>
                <w:sz w:val="24"/>
                <w:szCs w:val="24"/>
              </w:rPr>
            </w:pPr>
            <w:r w:rsidRPr="002B4087">
              <w:rPr>
                <w:rFonts w:ascii="Times New Roman" w:hAnsi="Times New Roman" w:cs="Times New Roman"/>
                <w:sz w:val="24"/>
                <w:szCs w:val="24"/>
              </w:rPr>
              <w:t xml:space="preserve">Постановление Правительства Москвы от </w:t>
            </w:r>
            <w:r w:rsidR="005C0B4E" w:rsidRPr="002B4087">
              <w:rPr>
                <w:rFonts w:ascii="Times New Roman" w:hAnsi="Times New Roman" w:cs="Times New Roman"/>
                <w:sz w:val="24"/>
                <w:szCs w:val="24"/>
              </w:rPr>
              <w:t>20</w:t>
            </w:r>
            <w:r w:rsidRPr="002B4087">
              <w:rPr>
                <w:rFonts w:ascii="Times New Roman" w:hAnsi="Times New Roman" w:cs="Times New Roman"/>
                <w:sz w:val="24"/>
                <w:szCs w:val="24"/>
              </w:rPr>
              <w:t>.</w:t>
            </w:r>
            <w:r w:rsidR="005C0B4E" w:rsidRPr="002B4087">
              <w:rPr>
                <w:rFonts w:ascii="Times New Roman" w:hAnsi="Times New Roman" w:cs="Times New Roman"/>
                <w:sz w:val="24"/>
                <w:szCs w:val="24"/>
              </w:rPr>
              <w:t>01</w:t>
            </w:r>
            <w:r w:rsidRPr="002B4087">
              <w:rPr>
                <w:rFonts w:ascii="Times New Roman" w:hAnsi="Times New Roman" w:cs="Times New Roman"/>
                <w:sz w:val="24"/>
                <w:szCs w:val="24"/>
              </w:rPr>
              <w:t>.201</w:t>
            </w:r>
            <w:r w:rsidR="005C0B4E" w:rsidRPr="002B4087">
              <w:rPr>
                <w:rFonts w:ascii="Times New Roman" w:hAnsi="Times New Roman" w:cs="Times New Roman"/>
                <w:sz w:val="24"/>
                <w:szCs w:val="24"/>
              </w:rPr>
              <w:t>5</w:t>
            </w:r>
            <w:r w:rsidRPr="002B4087">
              <w:rPr>
                <w:rFonts w:ascii="Times New Roman" w:hAnsi="Times New Roman" w:cs="Times New Roman"/>
                <w:sz w:val="24"/>
                <w:szCs w:val="24"/>
              </w:rPr>
              <w:t xml:space="preserve"> № </w:t>
            </w:r>
            <w:r w:rsidR="005C0B4E" w:rsidRPr="002B4087">
              <w:rPr>
                <w:rFonts w:ascii="Times New Roman" w:hAnsi="Times New Roman" w:cs="Times New Roman"/>
                <w:sz w:val="24"/>
                <w:szCs w:val="24"/>
              </w:rPr>
              <w:t>16</w:t>
            </w:r>
            <w:r w:rsidRPr="002B4087">
              <w:rPr>
                <w:rFonts w:ascii="Times New Roman" w:hAnsi="Times New Roman" w:cs="Times New Roman"/>
                <w:sz w:val="24"/>
                <w:szCs w:val="24"/>
              </w:rPr>
              <w:t>-ПП «</w:t>
            </w:r>
            <w:r w:rsidR="005C0B4E" w:rsidRPr="002B4087">
              <w:rPr>
                <w:rFonts w:ascii="Times New Roman" w:hAnsi="Times New Roman" w:cs="Times New Roman"/>
                <w:sz w:val="24"/>
                <w:szCs w:val="24"/>
              </w:rPr>
              <w:t xml:space="preserve">Об автоматизированной информационной системе города Москвы «Единая медицинская информационно-аналитическая </w:t>
            </w:r>
            <w:r w:rsidR="005C0B4E" w:rsidRPr="002B4087">
              <w:rPr>
                <w:rFonts w:ascii="Times New Roman" w:hAnsi="Times New Roman" w:cs="Times New Roman"/>
                <w:sz w:val="24"/>
                <w:szCs w:val="24"/>
              </w:rPr>
              <w:lastRenderedPageBreak/>
              <w:t>система города Москвы</w:t>
            </w:r>
            <w:r w:rsidRPr="002B4087">
              <w:rPr>
                <w:rFonts w:ascii="Times New Roman" w:hAnsi="Times New Roman" w:cs="Times New Roman"/>
                <w:sz w:val="24"/>
                <w:szCs w:val="24"/>
              </w:rPr>
              <w:t>»</w:t>
            </w:r>
          </w:p>
        </w:tc>
        <w:tc>
          <w:tcPr>
            <w:tcW w:w="9639" w:type="dxa"/>
            <w:shd w:val="clear" w:color="auto" w:fill="FFFFFF" w:themeFill="background1"/>
          </w:tcPr>
          <w:p w:rsidR="000F571E" w:rsidRPr="002B4087" w:rsidRDefault="005C0B4E" w:rsidP="005C0B4E">
            <w:pPr>
              <w:pStyle w:val="ConsPlusNormal"/>
              <w:spacing w:after="60"/>
              <w:ind w:firstLine="0"/>
              <w:rPr>
                <w:rFonts w:ascii="Times New Roman" w:hAnsi="Times New Roman" w:cs="Times New Roman"/>
                <w:sz w:val="24"/>
                <w:szCs w:val="24"/>
              </w:rPr>
            </w:pPr>
            <w:r w:rsidRPr="002B4087">
              <w:rPr>
                <w:rFonts w:ascii="Times New Roman" w:hAnsi="Times New Roman" w:cs="Times New Roman"/>
                <w:sz w:val="24"/>
                <w:szCs w:val="24"/>
              </w:rPr>
              <w:lastRenderedPageBreak/>
              <w:t>Положение определяет назначение, правила функционирования, а так же состав участников информационного взаимодействия с использованием ЕМИАС и их полномочия.</w:t>
            </w:r>
          </w:p>
        </w:tc>
      </w:tr>
      <w:tr w:rsidR="005D2D12" w:rsidRPr="001D5FA8" w:rsidTr="001D5FA8">
        <w:tc>
          <w:tcPr>
            <w:tcW w:w="4962" w:type="dxa"/>
            <w:shd w:val="clear" w:color="auto" w:fill="FFFFFF" w:themeFill="background1"/>
          </w:tcPr>
          <w:p w:rsidR="005D2D12" w:rsidRPr="001D5FA8" w:rsidRDefault="005D2D12" w:rsidP="001B6D53">
            <w:pPr>
              <w:pStyle w:val="ConsPlusNormal"/>
              <w:spacing w:after="60"/>
              <w:ind w:firstLine="0"/>
              <w:rPr>
                <w:rFonts w:ascii="Times New Roman" w:hAnsi="Times New Roman" w:cs="Times New Roman"/>
                <w:sz w:val="24"/>
                <w:szCs w:val="24"/>
              </w:rPr>
            </w:pPr>
            <w:r w:rsidRPr="002B4087">
              <w:rPr>
                <w:rFonts w:ascii="Times New Roman" w:hAnsi="Times New Roman" w:cs="Times New Roman"/>
                <w:sz w:val="24"/>
                <w:szCs w:val="24"/>
              </w:rPr>
              <w:lastRenderedPageBreak/>
              <w:t xml:space="preserve">Постановление Правительства Москвы от </w:t>
            </w:r>
            <w:r w:rsidR="001B6D53" w:rsidRPr="002B4087">
              <w:rPr>
                <w:rFonts w:ascii="Times New Roman" w:hAnsi="Times New Roman" w:cs="Times New Roman"/>
                <w:sz w:val="24"/>
                <w:szCs w:val="24"/>
              </w:rPr>
              <w:t>27</w:t>
            </w:r>
            <w:r w:rsidRPr="002B4087">
              <w:rPr>
                <w:rFonts w:ascii="Times New Roman" w:hAnsi="Times New Roman" w:cs="Times New Roman"/>
                <w:sz w:val="24"/>
                <w:szCs w:val="24"/>
              </w:rPr>
              <w:t>.12.201</w:t>
            </w:r>
            <w:r w:rsidR="001B6D53" w:rsidRPr="002B4087">
              <w:rPr>
                <w:rFonts w:ascii="Times New Roman" w:hAnsi="Times New Roman" w:cs="Times New Roman"/>
                <w:sz w:val="24"/>
                <w:szCs w:val="24"/>
              </w:rPr>
              <w:t>8</w:t>
            </w:r>
            <w:r w:rsidRPr="002B4087">
              <w:rPr>
                <w:rFonts w:ascii="Times New Roman" w:hAnsi="Times New Roman" w:cs="Times New Roman"/>
                <w:sz w:val="24"/>
                <w:szCs w:val="24"/>
              </w:rPr>
              <w:t xml:space="preserve"> № </w:t>
            </w:r>
            <w:r w:rsidR="001B6D53" w:rsidRPr="002B4087">
              <w:rPr>
                <w:rFonts w:ascii="Times New Roman" w:hAnsi="Times New Roman" w:cs="Times New Roman"/>
                <w:sz w:val="24"/>
                <w:szCs w:val="24"/>
              </w:rPr>
              <w:t>1703</w:t>
            </w:r>
            <w:r w:rsidRPr="002B4087">
              <w:rPr>
                <w:rFonts w:ascii="Times New Roman" w:hAnsi="Times New Roman" w:cs="Times New Roman"/>
                <w:sz w:val="24"/>
                <w:szCs w:val="24"/>
              </w:rPr>
              <w:t>-ПП «О Территориальной программе государственных гарантий бесплатного оказания гражданам медицинской помощи в городе Москве на 201</w:t>
            </w:r>
            <w:r w:rsidR="001B6D53" w:rsidRPr="002B4087">
              <w:rPr>
                <w:rFonts w:ascii="Times New Roman" w:hAnsi="Times New Roman" w:cs="Times New Roman"/>
                <w:sz w:val="24"/>
                <w:szCs w:val="24"/>
              </w:rPr>
              <w:t>9</w:t>
            </w:r>
            <w:r w:rsidRPr="002B4087">
              <w:rPr>
                <w:rFonts w:ascii="Times New Roman" w:hAnsi="Times New Roman" w:cs="Times New Roman"/>
                <w:sz w:val="24"/>
                <w:szCs w:val="24"/>
              </w:rPr>
              <w:t xml:space="preserve"> год и на плановый период 20</w:t>
            </w:r>
            <w:r w:rsidR="001B6D53" w:rsidRPr="002B4087">
              <w:rPr>
                <w:rFonts w:ascii="Times New Roman" w:hAnsi="Times New Roman" w:cs="Times New Roman"/>
                <w:sz w:val="24"/>
                <w:szCs w:val="24"/>
              </w:rPr>
              <w:t>20</w:t>
            </w:r>
            <w:r w:rsidRPr="002B4087">
              <w:rPr>
                <w:rFonts w:ascii="Times New Roman" w:hAnsi="Times New Roman" w:cs="Times New Roman"/>
                <w:sz w:val="24"/>
                <w:szCs w:val="24"/>
              </w:rPr>
              <w:t xml:space="preserve"> и 20</w:t>
            </w:r>
            <w:r w:rsidR="001B6D53" w:rsidRPr="002B4087">
              <w:rPr>
                <w:rFonts w:ascii="Times New Roman" w:hAnsi="Times New Roman" w:cs="Times New Roman"/>
                <w:sz w:val="24"/>
                <w:szCs w:val="24"/>
              </w:rPr>
              <w:t>21</w:t>
            </w:r>
            <w:r w:rsidRPr="002B4087">
              <w:rPr>
                <w:rFonts w:ascii="Times New Roman" w:hAnsi="Times New Roman" w:cs="Times New Roman"/>
                <w:sz w:val="24"/>
                <w:szCs w:val="24"/>
              </w:rPr>
              <w:t xml:space="preserve"> годов»</w:t>
            </w:r>
          </w:p>
        </w:tc>
        <w:tc>
          <w:tcPr>
            <w:tcW w:w="9639" w:type="dxa"/>
            <w:shd w:val="clear" w:color="auto" w:fill="FFFFFF" w:themeFill="background1"/>
          </w:tcPr>
          <w:p w:rsidR="005D2D12" w:rsidRPr="001D5FA8" w:rsidRDefault="005D2D12" w:rsidP="001D5FA8">
            <w:pPr>
              <w:pStyle w:val="ConsPlusNormal"/>
              <w:spacing w:after="60"/>
              <w:ind w:firstLine="0"/>
              <w:rPr>
                <w:rFonts w:ascii="Times New Roman" w:hAnsi="Times New Roman" w:cs="Times New Roman"/>
                <w:sz w:val="24"/>
                <w:szCs w:val="24"/>
              </w:rPr>
            </w:pPr>
            <w:r w:rsidRPr="00E5797D">
              <w:rPr>
                <w:rFonts w:ascii="Times New Roman" w:hAnsi="Times New Roman" w:cs="Times New Roman"/>
                <w:sz w:val="24"/>
                <w:szCs w:val="24"/>
              </w:rPr>
              <w:t xml:space="preserve">Утверждена  территориальная программа государственных гарантий бесплатного оказания гражданам медицинской помощи в </w:t>
            </w:r>
            <w:proofErr w:type="gramStart"/>
            <w:r w:rsidRPr="00E5797D">
              <w:rPr>
                <w:rFonts w:ascii="Times New Roman" w:hAnsi="Times New Roman" w:cs="Times New Roman"/>
                <w:sz w:val="24"/>
                <w:szCs w:val="24"/>
              </w:rPr>
              <w:t>г</w:t>
            </w:r>
            <w:proofErr w:type="gramEnd"/>
            <w:r w:rsidRPr="00E5797D">
              <w:rPr>
                <w:rFonts w:ascii="Times New Roman" w:hAnsi="Times New Roman" w:cs="Times New Roman"/>
                <w:sz w:val="24"/>
                <w:szCs w:val="24"/>
              </w:rPr>
              <w:t>. Москве на 201</w:t>
            </w:r>
            <w:r w:rsidR="001B6D53" w:rsidRPr="00E5797D">
              <w:rPr>
                <w:rFonts w:ascii="Times New Roman" w:hAnsi="Times New Roman" w:cs="Times New Roman"/>
                <w:sz w:val="24"/>
                <w:szCs w:val="24"/>
              </w:rPr>
              <w:t>9</w:t>
            </w:r>
            <w:r w:rsidRPr="00E5797D">
              <w:rPr>
                <w:rFonts w:ascii="Times New Roman" w:hAnsi="Times New Roman" w:cs="Times New Roman"/>
                <w:sz w:val="24"/>
                <w:szCs w:val="24"/>
              </w:rPr>
              <w:t xml:space="preserve"> год и на плановый период 20</w:t>
            </w:r>
            <w:r w:rsidR="001B6D53" w:rsidRPr="00E5797D">
              <w:rPr>
                <w:rFonts w:ascii="Times New Roman" w:hAnsi="Times New Roman" w:cs="Times New Roman"/>
                <w:sz w:val="24"/>
                <w:szCs w:val="24"/>
              </w:rPr>
              <w:t>20</w:t>
            </w:r>
            <w:r w:rsidRPr="00E5797D">
              <w:rPr>
                <w:rFonts w:ascii="Times New Roman" w:hAnsi="Times New Roman" w:cs="Times New Roman"/>
                <w:sz w:val="24"/>
                <w:szCs w:val="24"/>
              </w:rPr>
              <w:t xml:space="preserve"> и 20</w:t>
            </w:r>
            <w:r w:rsidR="001B6D53" w:rsidRPr="00E5797D">
              <w:rPr>
                <w:rFonts w:ascii="Times New Roman" w:hAnsi="Times New Roman" w:cs="Times New Roman"/>
                <w:sz w:val="24"/>
                <w:szCs w:val="24"/>
              </w:rPr>
              <w:t>21</w:t>
            </w:r>
            <w:r w:rsidRPr="00E5797D">
              <w:rPr>
                <w:rFonts w:ascii="Times New Roman" w:hAnsi="Times New Roman" w:cs="Times New Roman"/>
                <w:sz w:val="24"/>
                <w:szCs w:val="24"/>
              </w:rPr>
              <w:t xml:space="preserve"> годов, которая устанавливает:</w:t>
            </w:r>
          </w:p>
          <w:p w:rsidR="005D2D12" w:rsidRPr="001D5FA8" w:rsidRDefault="005D2D12"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 xml:space="preserve">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1D5FA8">
              <w:rPr>
                <w:rFonts w:ascii="Times New Roman" w:hAnsi="Times New Roman" w:cs="Times New Roman"/>
                <w:sz w:val="24"/>
                <w:szCs w:val="24"/>
              </w:rPr>
              <w:t>подушевые</w:t>
            </w:r>
            <w:proofErr w:type="spellEnd"/>
            <w:r w:rsidRPr="001D5FA8">
              <w:rPr>
                <w:rFonts w:ascii="Times New Roman" w:hAnsi="Times New Roman" w:cs="Times New Roman"/>
                <w:sz w:val="24"/>
                <w:szCs w:val="24"/>
              </w:rPr>
              <w:t xml:space="preserve"> нормативы финансирования, порядок и структуру формирования тарифов на медицинскую помощь и способы ее оплаты;</w:t>
            </w:r>
            <w:proofErr w:type="gramEnd"/>
          </w:p>
          <w:p w:rsidR="005D2D12" w:rsidRPr="001D5FA8" w:rsidRDefault="005D2D12"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перечень медицинских организаций, участвующих в реализации территориальной программы, в том числе Территориальной программы</w:t>
            </w:r>
            <w:proofErr w:type="gramEnd"/>
            <w:r w:rsidRPr="001D5FA8">
              <w:rPr>
                <w:rFonts w:ascii="Times New Roman" w:hAnsi="Times New Roman" w:cs="Times New Roman"/>
                <w:sz w:val="24"/>
                <w:szCs w:val="24"/>
              </w:rPr>
              <w:t xml:space="preserve"> обязательного медицинского страхования города Москвы;</w:t>
            </w:r>
          </w:p>
          <w:p w:rsidR="005D2D12" w:rsidRPr="001D5FA8" w:rsidRDefault="005D2D12"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D2D12" w:rsidRPr="001D5FA8" w:rsidRDefault="005D2D12"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4) целевые значения критериев доступности и качества медицинской помощи, оказываемой в рамках Территориальной программы.</w:t>
            </w:r>
          </w:p>
        </w:tc>
      </w:tr>
      <w:tr w:rsidR="004208BF" w:rsidRPr="001D5FA8" w:rsidTr="001D5FA8">
        <w:tc>
          <w:tcPr>
            <w:tcW w:w="4962" w:type="dxa"/>
            <w:shd w:val="clear" w:color="auto" w:fill="FFFFFF" w:themeFill="background1"/>
          </w:tcPr>
          <w:p w:rsidR="004208BF" w:rsidRPr="001D5FA8" w:rsidRDefault="004208BF" w:rsidP="006A1A98">
            <w:pPr>
              <w:pStyle w:val="ConsPlusNormal"/>
              <w:spacing w:after="60"/>
              <w:ind w:firstLine="0"/>
              <w:rPr>
                <w:rFonts w:ascii="Times New Roman" w:hAnsi="Times New Roman" w:cs="Times New Roman"/>
                <w:sz w:val="24"/>
                <w:szCs w:val="24"/>
              </w:rPr>
            </w:pPr>
            <w:r w:rsidRPr="00E5797D">
              <w:rPr>
                <w:rFonts w:ascii="Times New Roman" w:hAnsi="Times New Roman" w:cs="Times New Roman"/>
                <w:sz w:val="24"/>
                <w:szCs w:val="24"/>
              </w:rPr>
              <w:t xml:space="preserve">Приказ </w:t>
            </w:r>
            <w:r w:rsidR="006A1A98" w:rsidRPr="00E5797D">
              <w:rPr>
                <w:rFonts w:ascii="Times New Roman" w:hAnsi="Times New Roman" w:cs="Times New Roman"/>
                <w:sz w:val="24"/>
                <w:szCs w:val="24"/>
              </w:rPr>
              <w:t>Минздрава России</w:t>
            </w:r>
            <w:r w:rsidRPr="00E5797D">
              <w:rPr>
                <w:rFonts w:ascii="Times New Roman" w:hAnsi="Times New Roman" w:cs="Times New Roman"/>
                <w:sz w:val="24"/>
                <w:szCs w:val="24"/>
              </w:rPr>
              <w:t xml:space="preserve"> от </w:t>
            </w:r>
            <w:r w:rsidR="006A1A98" w:rsidRPr="00E5797D">
              <w:rPr>
                <w:rFonts w:ascii="Times New Roman" w:hAnsi="Times New Roman" w:cs="Times New Roman"/>
                <w:sz w:val="24"/>
                <w:szCs w:val="24"/>
              </w:rPr>
              <w:t>13</w:t>
            </w:r>
            <w:r w:rsidRPr="00E5797D">
              <w:rPr>
                <w:rFonts w:ascii="Times New Roman" w:hAnsi="Times New Roman" w:cs="Times New Roman"/>
                <w:sz w:val="24"/>
                <w:szCs w:val="24"/>
              </w:rPr>
              <w:t>.</w:t>
            </w:r>
            <w:r w:rsidR="006A1A98" w:rsidRPr="00E5797D">
              <w:rPr>
                <w:rFonts w:ascii="Times New Roman" w:hAnsi="Times New Roman" w:cs="Times New Roman"/>
                <w:sz w:val="24"/>
                <w:szCs w:val="24"/>
              </w:rPr>
              <w:t>10</w:t>
            </w:r>
            <w:r w:rsidRPr="00E5797D">
              <w:rPr>
                <w:rFonts w:ascii="Times New Roman" w:hAnsi="Times New Roman" w:cs="Times New Roman"/>
                <w:sz w:val="24"/>
                <w:szCs w:val="24"/>
              </w:rPr>
              <w:t>.201</w:t>
            </w:r>
            <w:r w:rsidR="006A1A98" w:rsidRPr="00E5797D">
              <w:rPr>
                <w:rFonts w:ascii="Times New Roman" w:hAnsi="Times New Roman" w:cs="Times New Roman"/>
                <w:sz w:val="24"/>
                <w:szCs w:val="24"/>
              </w:rPr>
              <w:t>7</w:t>
            </w:r>
            <w:r w:rsidRPr="00E5797D">
              <w:rPr>
                <w:rFonts w:ascii="Times New Roman" w:hAnsi="Times New Roman" w:cs="Times New Roman"/>
                <w:sz w:val="24"/>
                <w:szCs w:val="24"/>
              </w:rPr>
              <w:t xml:space="preserve"> № </w:t>
            </w:r>
            <w:r w:rsidR="006A1A98" w:rsidRPr="00E5797D">
              <w:rPr>
                <w:rFonts w:ascii="Times New Roman" w:hAnsi="Times New Roman" w:cs="Times New Roman"/>
                <w:sz w:val="24"/>
                <w:szCs w:val="24"/>
              </w:rPr>
              <w:t>804</w:t>
            </w:r>
            <w:r w:rsidRPr="00E5797D">
              <w:rPr>
                <w:rFonts w:ascii="Times New Roman" w:hAnsi="Times New Roman" w:cs="Times New Roman"/>
                <w:sz w:val="24"/>
                <w:szCs w:val="24"/>
              </w:rPr>
              <w:t>н «Об утверждении номенклатуры медицинских услуг»</w:t>
            </w:r>
          </w:p>
        </w:tc>
        <w:tc>
          <w:tcPr>
            <w:tcW w:w="9639" w:type="dxa"/>
            <w:shd w:val="clear" w:color="auto" w:fill="FFFFFF" w:themeFill="background1"/>
          </w:tcPr>
          <w:p w:rsidR="004208BF" w:rsidRPr="001D5FA8" w:rsidRDefault="004208BF"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Утверждена номенклатура медицинских услуг</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Департамента здравоохранения </w:t>
            </w:r>
            <w:r w:rsidRPr="001D5FA8">
              <w:rPr>
                <w:rFonts w:ascii="Times New Roman" w:hAnsi="Times New Roman" w:cs="Times New Roman"/>
                <w:sz w:val="24"/>
                <w:szCs w:val="24"/>
              </w:rPr>
              <w:lastRenderedPageBreak/>
              <w:t>города Москвы от 07.05.2013 № 430 «Об утверждении порядка предварительного согласования совершения государственными бюджетными учреждениями, государственными унитарными предприятиями, подведомственными Департаменту здравоохранения города Москвы, крупных сделок»</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lastRenderedPageBreak/>
              <w:t xml:space="preserve">Порядок предварительного согласования совершения государственным бюджетным </w:t>
            </w:r>
            <w:r w:rsidRPr="001D5FA8">
              <w:rPr>
                <w:rFonts w:ascii="Times New Roman" w:hAnsi="Times New Roman" w:cs="Times New Roman"/>
                <w:sz w:val="24"/>
                <w:szCs w:val="24"/>
              </w:rPr>
              <w:lastRenderedPageBreak/>
              <w:t>учреждением, подведомственным Департаменту здравоохранения города Москвы, крупных сделок разработан в соответствии с Федеральным законом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повышения эффективности управления закрепленным за ним государственным имуществом и усиления ответственности его руководителя.</w:t>
            </w:r>
            <w:proofErr w:type="gramEnd"/>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Приказ Департамента здравоохранения города Москвы от 24.08.2011 № 760 «Об установлении предельно допустимого значения просроченной кредиторской </w:t>
            </w:r>
            <w:proofErr w:type="gramStart"/>
            <w:r w:rsidRPr="001D5FA8">
              <w:rPr>
                <w:rFonts w:ascii="Times New Roman" w:hAnsi="Times New Roman" w:cs="Times New Roman"/>
                <w:sz w:val="24"/>
                <w:szCs w:val="24"/>
              </w:rPr>
              <w:t>задолженности государственного бюджетного учреждения здравоохранения города Москвы</w:t>
            </w:r>
            <w:proofErr w:type="gramEnd"/>
            <w:r w:rsidRPr="001D5FA8">
              <w:rPr>
                <w:rFonts w:ascii="Times New Roman" w:hAnsi="Times New Roman" w:cs="Times New Roman"/>
                <w:sz w:val="24"/>
                <w:szCs w:val="24"/>
              </w:rPr>
              <w:t>»</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 Порядок определения предельно допустимого значения просроченной кредиторской задолженности государственного бюджетного учреждения здравоохранения города Москвы, превышение которого влечет расторжение трудового договора с руководителем государственного бюджетного учреждения здравоохранения города Москвы по инициативе работодателя в соответствии со статьей 81 Трудового кодекса Российской Федерации.</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Департамента здравоохранения города Москвы от 01.04.2011 № 279 «Об утверждении Порядка принятия решения об одобрении сделок с участием государственного бюджетного учреждения города Москвы, подведомственного Департаменту здравоохранения города Москвы, в совершении которых имеется заинтересованность»</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Порядок устанавливает правила принятия решения об одобрении сделок с участием государственного бюджетного учреждения города Москвы, подведомственного Департаменту здравоохранения города Москвы, в совершении которых имеется заинтересованность.</w:t>
            </w:r>
          </w:p>
        </w:tc>
      </w:tr>
      <w:tr w:rsidR="000F571E" w:rsidRPr="001D5FA8" w:rsidTr="001D5FA8">
        <w:tc>
          <w:tcPr>
            <w:tcW w:w="14601" w:type="dxa"/>
            <w:gridSpan w:val="2"/>
            <w:shd w:val="clear" w:color="auto" w:fill="FFFFFF" w:themeFill="background1"/>
          </w:tcPr>
          <w:p w:rsidR="000F571E" w:rsidRPr="001D5FA8" w:rsidRDefault="000F571E" w:rsidP="001D5FA8">
            <w:pPr>
              <w:spacing w:after="240"/>
              <w:ind w:right="210" w:firstLine="0"/>
              <w:jc w:val="left"/>
              <w:rPr>
                <w:b/>
                <w:sz w:val="24"/>
                <w:szCs w:val="24"/>
              </w:rPr>
            </w:pPr>
            <w:r w:rsidRPr="001D5FA8">
              <w:rPr>
                <w:b/>
                <w:sz w:val="24"/>
                <w:szCs w:val="24"/>
              </w:rPr>
              <w:t>Нормативные правовые акты Министерства финансов Российской Федерации, регулирующие вопросы применения бюджетной классификации</w:t>
            </w:r>
          </w:p>
        </w:tc>
      </w:tr>
      <w:tr w:rsidR="000F571E" w:rsidRPr="001D5FA8" w:rsidTr="001D5FA8">
        <w:tc>
          <w:tcPr>
            <w:tcW w:w="4962" w:type="dxa"/>
            <w:shd w:val="clear" w:color="auto" w:fill="FFFFFF" w:themeFill="background1"/>
          </w:tcPr>
          <w:p w:rsidR="000F571E" w:rsidRPr="00E5797D" w:rsidRDefault="000F571E" w:rsidP="00A61F45">
            <w:pPr>
              <w:pStyle w:val="ConsPlusNormal"/>
              <w:spacing w:after="60"/>
              <w:ind w:firstLine="0"/>
              <w:rPr>
                <w:rFonts w:ascii="Times New Roman" w:hAnsi="Times New Roman" w:cs="Times New Roman"/>
                <w:sz w:val="24"/>
                <w:szCs w:val="24"/>
              </w:rPr>
            </w:pPr>
            <w:r w:rsidRPr="00E5797D">
              <w:rPr>
                <w:rFonts w:ascii="Times New Roman" w:hAnsi="Times New Roman" w:cs="Times New Roman"/>
                <w:sz w:val="24"/>
                <w:szCs w:val="24"/>
              </w:rPr>
              <w:t xml:space="preserve">Приказ Минфина России от </w:t>
            </w:r>
            <w:r w:rsidR="00A61F45" w:rsidRPr="00E5797D">
              <w:rPr>
                <w:rFonts w:ascii="Times New Roman" w:hAnsi="Times New Roman" w:cs="Times New Roman"/>
                <w:sz w:val="24"/>
                <w:szCs w:val="24"/>
              </w:rPr>
              <w:t>06</w:t>
            </w:r>
            <w:r w:rsidRPr="00E5797D">
              <w:rPr>
                <w:rFonts w:ascii="Times New Roman" w:hAnsi="Times New Roman" w:cs="Times New Roman"/>
                <w:sz w:val="24"/>
                <w:szCs w:val="24"/>
              </w:rPr>
              <w:t>.</w:t>
            </w:r>
            <w:r w:rsidR="00A61F45" w:rsidRPr="00E5797D">
              <w:rPr>
                <w:rFonts w:ascii="Times New Roman" w:hAnsi="Times New Roman" w:cs="Times New Roman"/>
                <w:sz w:val="24"/>
                <w:szCs w:val="24"/>
              </w:rPr>
              <w:t>06</w:t>
            </w:r>
            <w:r w:rsidRPr="00E5797D">
              <w:rPr>
                <w:rFonts w:ascii="Times New Roman" w:hAnsi="Times New Roman" w:cs="Times New Roman"/>
                <w:sz w:val="24"/>
                <w:szCs w:val="24"/>
              </w:rPr>
              <w:t>.</w:t>
            </w:r>
            <w:r w:rsidR="00A61F45" w:rsidRPr="00E5797D">
              <w:rPr>
                <w:rFonts w:ascii="Times New Roman" w:hAnsi="Times New Roman" w:cs="Times New Roman"/>
                <w:sz w:val="24"/>
                <w:szCs w:val="24"/>
              </w:rPr>
              <w:t>2019</w:t>
            </w:r>
            <w:r w:rsidRPr="00E5797D">
              <w:rPr>
                <w:rFonts w:ascii="Times New Roman" w:hAnsi="Times New Roman" w:cs="Times New Roman"/>
                <w:sz w:val="24"/>
                <w:szCs w:val="24"/>
              </w:rPr>
              <w:t xml:space="preserve"> № </w:t>
            </w:r>
            <w:r w:rsidR="00A61F45" w:rsidRPr="00E5797D">
              <w:rPr>
                <w:rFonts w:ascii="Times New Roman" w:hAnsi="Times New Roman" w:cs="Times New Roman"/>
                <w:sz w:val="24"/>
                <w:szCs w:val="24"/>
              </w:rPr>
              <w:t>85</w:t>
            </w:r>
            <w:r w:rsidRPr="00E5797D">
              <w:rPr>
                <w:rFonts w:ascii="Times New Roman" w:hAnsi="Times New Roman" w:cs="Times New Roman"/>
                <w:sz w:val="24"/>
                <w:szCs w:val="24"/>
              </w:rPr>
              <w:t>н «</w:t>
            </w:r>
            <w:r w:rsidR="005146EF" w:rsidRPr="00E5797D">
              <w:rPr>
                <w:rFonts w:ascii="Times New Roman" w:hAnsi="Times New Roman" w:cs="Times New Roman"/>
                <w:sz w:val="24"/>
                <w:szCs w:val="24"/>
              </w:rPr>
              <w:t xml:space="preserve">О Порядке формирования и применения </w:t>
            </w:r>
            <w:r w:rsidR="005146EF" w:rsidRPr="00E5797D">
              <w:rPr>
                <w:rFonts w:ascii="Times New Roman" w:hAnsi="Times New Roman" w:cs="Times New Roman"/>
                <w:sz w:val="24"/>
                <w:szCs w:val="24"/>
              </w:rPr>
              <w:lastRenderedPageBreak/>
              <w:t>кодов бюджетной классификации Российской Федерации, их структуре и принципах назначения</w:t>
            </w:r>
            <w:r w:rsidRPr="00E5797D">
              <w:rPr>
                <w:rFonts w:ascii="Times New Roman" w:hAnsi="Times New Roman" w:cs="Times New Roman"/>
                <w:sz w:val="24"/>
                <w:szCs w:val="24"/>
              </w:rPr>
              <w:t>»</w:t>
            </w:r>
          </w:p>
        </w:tc>
        <w:tc>
          <w:tcPr>
            <w:tcW w:w="9639" w:type="dxa"/>
            <w:shd w:val="clear" w:color="auto" w:fill="FFFFFF" w:themeFill="background1"/>
          </w:tcPr>
          <w:p w:rsidR="005146EF" w:rsidRPr="00E5797D" w:rsidRDefault="005146EF" w:rsidP="005146EF">
            <w:pPr>
              <w:ind w:firstLine="0"/>
              <w:rPr>
                <w:rFonts w:ascii="Verdana" w:hAnsi="Verdana"/>
                <w:color w:val="000000"/>
                <w:sz w:val="24"/>
                <w:szCs w:val="24"/>
              </w:rPr>
            </w:pPr>
            <w:proofErr w:type="gramStart"/>
            <w:r w:rsidRPr="00E5797D">
              <w:rPr>
                <w:color w:val="000000"/>
                <w:sz w:val="24"/>
                <w:szCs w:val="24"/>
              </w:rPr>
              <w:lastRenderedPageBreak/>
              <w:t xml:space="preserve">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w:t>
            </w:r>
            <w:r w:rsidRPr="00E5797D">
              <w:rPr>
                <w:color w:val="000000"/>
                <w:sz w:val="24"/>
                <w:szCs w:val="24"/>
              </w:rPr>
              <w:lastRenderedPageBreak/>
              <w:t xml:space="preserve">частей бюджетной классификации Российской Федерации, которые в соответствии с Бюджетным </w:t>
            </w:r>
            <w:hyperlink r:id="rId10" w:history="1">
              <w:r w:rsidRPr="00E5797D">
                <w:rPr>
                  <w:rStyle w:val="af1"/>
                  <w:color w:val="000000"/>
                  <w:sz w:val="24"/>
                  <w:szCs w:val="24"/>
                </w:rPr>
                <w:t>кодексом</w:t>
              </w:r>
            </w:hyperlink>
            <w:r w:rsidRPr="00E5797D">
              <w:rPr>
                <w:color w:val="000000"/>
                <w:sz w:val="24"/>
                <w:szCs w:val="24"/>
              </w:rPr>
              <w:t xml:space="preserve"> Российской Федерации, являются едиными для бюджетов бюджетной системы Российской Федерации, а также коды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w:t>
            </w:r>
            <w:proofErr w:type="gramEnd"/>
            <w:r w:rsidRPr="00E5797D">
              <w:rPr>
                <w:color w:val="000000"/>
                <w:sz w:val="24"/>
                <w:szCs w:val="24"/>
              </w:rPr>
              <w:t xml:space="preserve"> Федерации</w:t>
            </w:r>
          </w:p>
          <w:p w:rsidR="000F571E" w:rsidRPr="00E5797D" w:rsidRDefault="000F571E" w:rsidP="001D5FA8">
            <w:pPr>
              <w:pStyle w:val="ConsPlusNormal"/>
              <w:spacing w:after="60"/>
              <w:ind w:firstLine="0"/>
              <w:rPr>
                <w:rFonts w:ascii="Times New Roman" w:hAnsi="Times New Roman" w:cs="Times New Roman"/>
                <w:sz w:val="24"/>
                <w:szCs w:val="24"/>
              </w:rPr>
            </w:pPr>
          </w:p>
        </w:tc>
      </w:tr>
      <w:tr w:rsidR="005146EF" w:rsidRPr="001D5FA8" w:rsidTr="001D5FA8">
        <w:tc>
          <w:tcPr>
            <w:tcW w:w="4962" w:type="dxa"/>
            <w:shd w:val="clear" w:color="auto" w:fill="FFFFFF" w:themeFill="background1"/>
          </w:tcPr>
          <w:p w:rsidR="005146EF" w:rsidRPr="00E5797D" w:rsidRDefault="005146EF" w:rsidP="005146EF">
            <w:pPr>
              <w:pStyle w:val="ConsPlusNormal"/>
              <w:spacing w:after="60"/>
              <w:ind w:firstLine="0"/>
              <w:rPr>
                <w:rFonts w:ascii="Times New Roman" w:hAnsi="Times New Roman" w:cs="Times New Roman"/>
                <w:sz w:val="24"/>
                <w:szCs w:val="24"/>
              </w:rPr>
            </w:pPr>
            <w:r w:rsidRPr="00E5797D">
              <w:rPr>
                <w:rFonts w:ascii="Times New Roman" w:hAnsi="Times New Roman" w:cs="Times New Roman"/>
                <w:sz w:val="24"/>
                <w:szCs w:val="24"/>
              </w:rPr>
              <w:lastRenderedPageBreak/>
              <w:t xml:space="preserve">Приказ Минфина России от 29.11.2017 № 209н «Об утверждении </w:t>
            </w:r>
            <w:proofErr w:type="gramStart"/>
            <w:r w:rsidRPr="00E5797D">
              <w:rPr>
                <w:rFonts w:ascii="Times New Roman" w:hAnsi="Times New Roman" w:cs="Times New Roman"/>
                <w:sz w:val="24"/>
                <w:szCs w:val="24"/>
              </w:rPr>
              <w:t>Порядка применения классификации операций сектора государственного управления</w:t>
            </w:r>
            <w:proofErr w:type="gramEnd"/>
            <w:r w:rsidRPr="00E5797D">
              <w:rPr>
                <w:rFonts w:ascii="Times New Roman" w:hAnsi="Times New Roman" w:cs="Times New Roman"/>
                <w:sz w:val="24"/>
                <w:szCs w:val="24"/>
              </w:rPr>
              <w:t>»</w:t>
            </w:r>
          </w:p>
        </w:tc>
        <w:tc>
          <w:tcPr>
            <w:tcW w:w="9639" w:type="dxa"/>
            <w:shd w:val="clear" w:color="auto" w:fill="FFFFFF" w:themeFill="background1"/>
          </w:tcPr>
          <w:p w:rsidR="005146EF" w:rsidRPr="00E5797D" w:rsidRDefault="005146EF" w:rsidP="005146EF">
            <w:pPr>
              <w:ind w:firstLine="0"/>
              <w:rPr>
                <w:rFonts w:ascii="Verdana" w:hAnsi="Verdana"/>
                <w:color w:val="000000"/>
                <w:sz w:val="21"/>
                <w:szCs w:val="21"/>
              </w:rPr>
            </w:pPr>
            <w:r w:rsidRPr="00E5797D">
              <w:rPr>
                <w:color w:val="000000"/>
                <w:sz w:val="24"/>
                <w:szCs w:val="24"/>
              </w:rPr>
              <w:t>Определяет правила применения кодов классификации операций сектора государственного управления (КОСГУ)</w:t>
            </w:r>
          </w:p>
          <w:p w:rsidR="005146EF" w:rsidRPr="00E5797D" w:rsidRDefault="005146EF" w:rsidP="001D5FA8">
            <w:pPr>
              <w:pStyle w:val="ConsPlusNormal"/>
              <w:spacing w:after="60"/>
              <w:ind w:firstLine="0"/>
              <w:rPr>
                <w:rFonts w:ascii="Times New Roman" w:hAnsi="Times New Roman" w:cs="Times New Roman"/>
                <w:sz w:val="24"/>
                <w:szCs w:val="24"/>
              </w:rPr>
            </w:pPr>
          </w:p>
        </w:tc>
      </w:tr>
      <w:tr w:rsidR="000F571E" w:rsidRPr="001D5FA8" w:rsidTr="001D5FA8">
        <w:tc>
          <w:tcPr>
            <w:tcW w:w="4962" w:type="dxa"/>
            <w:shd w:val="clear" w:color="auto" w:fill="FFFFFF" w:themeFill="background1"/>
          </w:tcPr>
          <w:p w:rsidR="000F571E" w:rsidRPr="00E5797D" w:rsidRDefault="000F571E" w:rsidP="00EE3D12">
            <w:pPr>
              <w:pStyle w:val="ConsPlusNormal"/>
              <w:spacing w:after="60"/>
              <w:ind w:firstLine="0"/>
              <w:rPr>
                <w:rFonts w:ascii="Times New Roman" w:hAnsi="Times New Roman" w:cs="Times New Roman"/>
                <w:sz w:val="24"/>
                <w:szCs w:val="24"/>
              </w:rPr>
            </w:pPr>
            <w:r w:rsidRPr="00E5797D">
              <w:rPr>
                <w:rFonts w:ascii="Times New Roman" w:hAnsi="Times New Roman" w:cs="Times New Roman"/>
                <w:sz w:val="24"/>
                <w:szCs w:val="24"/>
              </w:rPr>
              <w:t xml:space="preserve">Приказ Департамента финансов города Москвы от </w:t>
            </w:r>
            <w:r w:rsidR="00EE3D12" w:rsidRPr="00E5797D">
              <w:rPr>
                <w:rFonts w:ascii="Times New Roman" w:hAnsi="Times New Roman" w:cs="Times New Roman"/>
                <w:sz w:val="24"/>
                <w:szCs w:val="24"/>
              </w:rPr>
              <w:t>22</w:t>
            </w:r>
            <w:r w:rsidRPr="00E5797D">
              <w:rPr>
                <w:rFonts w:ascii="Times New Roman" w:hAnsi="Times New Roman" w:cs="Times New Roman"/>
                <w:sz w:val="24"/>
                <w:szCs w:val="24"/>
              </w:rPr>
              <w:t>.12.201</w:t>
            </w:r>
            <w:r w:rsidR="00EE3D12" w:rsidRPr="00E5797D">
              <w:rPr>
                <w:rFonts w:ascii="Times New Roman" w:hAnsi="Times New Roman" w:cs="Times New Roman"/>
                <w:sz w:val="24"/>
                <w:szCs w:val="24"/>
              </w:rPr>
              <w:t>6</w:t>
            </w:r>
            <w:r w:rsidRPr="00E5797D">
              <w:rPr>
                <w:rFonts w:ascii="Times New Roman" w:hAnsi="Times New Roman" w:cs="Times New Roman"/>
                <w:sz w:val="24"/>
                <w:szCs w:val="24"/>
              </w:rPr>
              <w:t xml:space="preserve"> № </w:t>
            </w:r>
            <w:r w:rsidR="00EE3D12" w:rsidRPr="00E5797D">
              <w:rPr>
                <w:rFonts w:ascii="Times New Roman" w:hAnsi="Times New Roman" w:cs="Times New Roman"/>
                <w:sz w:val="24"/>
                <w:szCs w:val="24"/>
              </w:rPr>
              <w:t>300</w:t>
            </w:r>
            <w:r w:rsidRPr="00E5797D">
              <w:rPr>
                <w:rFonts w:ascii="Times New Roman" w:hAnsi="Times New Roman" w:cs="Times New Roman"/>
                <w:sz w:val="24"/>
                <w:szCs w:val="24"/>
              </w:rPr>
              <w:t xml:space="preserve"> «Об утверждении </w:t>
            </w:r>
            <w:r w:rsidR="00EE3D12" w:rsidRPr="00E5797D">
              <w:rPr>
                <w:rFonts w:ascii="Times New Roman" w:hAnsi="Times New Roman" w:cs="Times New Roman"/>
                <w:sz w:val="24"/>
                <w:szCs w:val="24"/>
              </w:rPr>
              <w:t>порядка проведения Департаментом финансов города Москвы кассовых операций со средствами бюджетных, автономных учреждений города Москвы и государственных унитарных предприятий города Москвы</w:t>
            </w:r>
            <w:r w:rsidRPr="00E5797D">
              <w:rPr>
                <w:rFonts w:ascii="Times New Roman" w:hAnsi="Times New Roman" w:cs="Times New Roman"/>
                <w:sz w:val="24"/>
                <w:szCs w:val="24"/>
              </w:rPr>
              <w:t>»</w:t>
            </w:r>
          </w:p>
        </w:tc>
        <w:tc>
          <w:tcPr>
            <w:tcW w:w="9639" w:type="dxa"/>
            <w:shd w:val="clear" w:color="auto" w:fill="FFFFFF" w:themeFill="background1"/>
          </w:tcPr>
          <w:p w:rsidR="000F571E" w:rsidRPr="00E5797D" w:rsidRDefault="00EE3D12" w:rsidP="00EE3D12">
            <w:pPr>
              <w:ind w:firstLine="0"/>
              <w:rPr>
                <w:sz w:val="24"/>
                <w:szCs w:val="24"/>
              </w:rPr>
            </w:pPr>
            <w:r w:rsidRPr="00E5797D">
              <w:rPr>
                <w:color w:val="000000"/>
                <w:sz w:val="24"/>
                <w:szCs w:val="24"/>
              </w:rPr>
              <w:t>Устанавливает порядок проведения Департаментом финансов города Москвы кассовых операций со средствами бюджетных, автономных учреждений города Москвы</w:t>
            </w:r>
          </w:p>
        </w:tc>
      </w:tr>
      <w:tr w:rsidR="000F571E" w:rsidRPr="001D5FA8" w:rsidTr="001D5FA8">
        <w:tc>
          <w:tcPr>
            <w:tcW w:w="14601" w:type="dxa"/>
            <w:gridSpan w:val="2"/>
            <w:shd w:val="clear" w:color="auto" w:fill="FFFFFF" w:themeFill="background1"/>
          </w:tcPr>
          <w:p w:rsidR="000F571E" w:rsidRPr="001D5FA8" w:rsidRDefault="000F571E" w:rsidP="001D5FA8">
            <w:pPr>
              <w:spacing w:after="240"/>
              <w:ind w:right="210" w:firstLine="0"/>
              <w:jc w:val="left"/>
              <w:rPr>
                <w:b/>
                <w:sz w:val="24"/>
                <w:szCs w:val="24"/>
              </w:rPr>
            </w:pPr>
            <w:r w:rsidRPr="001D5FA8">
              <w:rPr>
                <w:b/>
                <w:sz w:val="24"/>
                <w:szCs w:val="24"/>
              </w:rPr>
              <w:t>Нормативные правовые акты Министерства финансов Российской Федерации, регулирующие порядок составления, утверждения плана ФХД</w:t>
            </w:r>
          </w:p>
        </w:tc>
      </w:tr>
      <w:tr w:rsidR="000F571E" w:rsidRPr="001D5FA8" w:rsidTr="001D5FA8">
        <w:tc>
          <w:tcPr>
            <w:tcW w:w="4962" w:type="dxa"/>
            <w:shd w:val="clear" w:color="auto" w:fill="FFFFFF" w:themeFill="background1"/>
          </w:tcPr>
          <w:p w:rsidR="000F571E" w:rsidRPr="001D5FA8" w:rsidRDefault="0088494B" w:rsidP="001D5FA8">
            <w:pPr>
              <w:pStyle w:val="ConsPlusNormal"/>
              <w:spacing w:after="60"/>
              <w:ind w:firstLine="0"/>
              <w:rPr>
                <w:rFonts w:ascii="Times New Roman" w:hAnsi="Times New Roman" w:cs="Times New Roman"/>
                <w:sz w:val="24"/>
                <w:szCs w:val="24"/>
              </w:rPr>
            </w:pPr>
            <w:hyperlink r:id="rId11" w:history="1">
              <w:r w:rsidR="000F571E" w:rsidRPr="001D5FA8">
                <w:rPr>
                  <w:rFonts w:ascii="Times New Roman" w:hAnsi="Times New Roman" w:cs="Times New Roman"/>
                  <w:sz w:val="24"/>
                  <w:szCs w:val="24"/>
                </w:rPr>
                <w:t>Приказ</w:t>
              </w:r>
            </w:hyperlink>
            <w:r w:rsidR="000F571E" w:rsidRPr="001D5FA8">
              <w:rPr>
                <w:rFonts w:ascii="Times New Roman" w:hAnsi="Times New Roman" w:cs="Times New Roman"/>
                <w:sz w:val="24"/>
                <w:szCs w:val="24"/>
              </w:rPr>
              <w:t xml:space="preserve"> Минфина России от 28.07.2010 № 81н «О требованиях к плану финансово-хозяйственной деятельности государственного (муниципального) учреждения»</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Утверждены требования, которые устанавливают общий порядок составления и утверждения плана финансово-хозяйственной деятельности государственного (муниципального) учреждения (бюджетные и автономные учреждения)</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Департамента здравоохранения города Москвы от 28.05.2014 № 500 «Об утверждении Порядка составления и </w:t>
            </w:r>
            <w:r w:rsidRPr="001D5FA8">
              <w:rPr>
                <w:rFonts w:ascii="Times New Roman" w:hAnsi="Times New Roman" w:cs="Times New Roman"/>
                <w:sz w:val="24"/>
                <w:szCs w:val="24"/>
              </w:rPr>
              <w:lastRenderedPageBreak/>
              <w:t>утверждения плана финансово-хозяйственной деятельности государственного бюджетного (автономного) учреждения, подведомственного Департаменту здравоохранения города Москвы»</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Порядок определяет правила составления и утверждения плана финансово-хозяйственной деятельности государственного бюджетного (автономного) учреждения, подведомственного Департаменту здравоохранения города Москвы по форме плана </w:t>
            </w:r>
            <w:r w:rsidRPr="001D5FA8">
              <w:rPr>
                <w:rFonts w:ascii="Times New Roman" w:hAnsi="Times New Roman" w:cs="Times New Roman"/>
                <w:sz w:val="24"/>
                <w:szCs w:val="24"/>
              </w:rPr>
              <w:lastRenderedPageBreak/>
              <w:t>финансово-хозяйственной деятельности государственного бюджетного (автономного) учреждения, подведомственного Департаменту здравоохранения города Москвы, утвержденной этим же приказом</w:t>
            </w:r>
          </w:p>
        </w:tc>
      </w:tr>
      <w:tr w:rsidR="000F571E" w:rsidRPr="001D5FA8" w:rsidTr="001D5FA8">
        <w:tc>
          <w:tcPr>
            <w:tcW w:w="14601" w:type="dxa"/>
            <w:gridSpan w:val="2"/>
            <w:shd w:val="clear" w:color="auto" w:fill="FFFFFF" w:themeFill="background1"/>
          </w:tcPr>
          <w:p w:rsidR="000F571E" w:rsidRPr="001D5FA8" w:rsidRDefault="000F571E" w:rsidP="001D5FA8">
            <w:pPr>
              <w:spacing w:after="240"/>
              <w:ind w:right="210" w:firstLine="0"/>
              <w:jc w:val="left"/>
              <w:rPr>
                <w:b/>
                <w:sz w:val="24"/>
                <w:szCs w:val="24"/>
              </w:rPr>
            </w:pPr>
            <w:r w:rsidRPr="001D5FA8">
              <w:rPr>
                <w:b/>
                <w:sz w:val="24"/>
                <w:szCs w:val="24"/>
              </w:rPr>
              <w:lastRenderedPageBreak/>
              <w:t>Нормативные правовые акты, регулирующие порядок организации и ведения бухгалтерского учета в государственных учреждениях</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Федеральный закон от 06.12.2011 № 402-ФЗ «О бухгалтерском учете»</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Закон регламентирует общие требования к бухгалтерскому учету, в том числе бухгалтерской (финансовой) отчетности, а также создание правового механизма регулирования бухгалтерского учета</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Минфина РФ от 13.06.1995 № 49 «Об утверждении Методических указаний по инвентаризации имущества и финансовых обязательств»</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Устанавливается порядок проведения инвентаризации имущества и финансовых обязательств организации и оформления ее результатов.</w:t>
            </w:r>
          </w:p>
        </w:tc>
      </w:tr>
      <w:tr w:rsidR="000F571E" w:rsidRPr="001D5FA8" w:rsidTr="001D5FA8">
        <w:tc>
          <w:tcPr>
            <w:tcW w:w="4962"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9639" w:type="dxa"/>
            <w:shd w:val="clear" w:color="auto" w:fill="FFFFFF" w:themeFill="background1"/>
          </w:tcPr>
          <w:p w:rsidR="000F571E" w:rsidRPr="001D5FA8" w:rsidRDefault="000F571E"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Инструкция устанавливает единый порядок применения субъектами учета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w:t>
            </w:r>
            <w:proofErr w:type="gramEnd"/>
            <w:r w:rsidR="00E5797D">
              <w:rPr>
                <w:rFonts w:ascii="Times New Roman" w:hAnsi="Times New Roman" w:cs="Times New Roman"/>
                <w:sz w:val="24"/>
                <w:szCs w:val="24"/>
              </w:rPr>
              <w:t xml:space="preserve"> </w:t>
            </w:r>
            <w:proofErr w:type="gramStart"/>
            <w:r w:rsidRPr="001D5FA8">
              <w:rPr>
                <w:rFonts w:ascii="Times New Roman" w:hAnsi="Times New Roman" w:cs="Times New Roman"/>
                <w:sz w:val="24"/>
                <w:szCs w:val="24"/>
              </w:rPr>
              <w:t>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путем сплошного, непрерывного и документального учета всех операций с активами и обязательствами.</w:t>
            </w:r>
            <w:proofErr w:type="gramEnd"/>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Приказ Минфина РФ от 23.12.2010  № 183н «Об утверждении плана счетов бухгалтерского учета автономных учреждений и Инструкции по его применению»</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Содержит нормативно-правовое регулирование в сфере ведения бухгалтерского учета государственными (муниципальными) автономными учреждениями на основе плана счетов и инструкции по его применению</w:t>
            </w:r>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Приказ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tc>
        <w:tc>
          <w:tcPr>
            <w:tcW w:w="9639" w:type="dxa"/>
            <w:shd w:val="clear" w:color="auto" w:fill="FFFFFF" w:themeFill="background1"/>
          </w:tcPr>
          <w:p w:rsidR="00FC71DC" w:rsidRPr="00E5797D" w:rsidRDefault="003B2EAB" w:rsidP="003B2EAB">
            <w:pPr>
              <w:ind w:firstLine="0"/>
              <w:rPr>
                <w:rFonts w:ascii="Verdana" w:hAnsi="Verdana"/>
                <w:color w:val="000000"/>
                <w:sz w:val="21"/>
                <w:szCs w:val="21"/>
              </w:rPr>
            </w:pPr>
            <w:proofErr w:type="gramStart"/>
            <w:r w:rsidRPr="00E5797D">
              <w:rPr>
                <w:color w:val="000000"/>
                <w:sz w:val="24"/>
                <w:szCs w:val="24"/>
              </w:rPr>
              <w:t>Настоящий Стандарт определяет основные правила (способы) ведения бухгалтерского учета субъектами бухгалтерского учета, объекты бухгалтерского учета, общие правила признания (прекращения признания) их в бухгалтерском учете, оценку (денежное измерение), а также методы оценки (денежного измерения) объектов бухгалтерского учета, общие требования к порядку формирования информации, раскрываемой в бухгалтерской (финансовой) отчетности, и ее качественные характеристики, основные принципы (допущения) подготовки бухгалтерской (финансовой) отчетности субъектами бухгалтерской</w:t>
            </w:r>
            <w:proofErr w:type="gramEnd"/>
            <w:r w:rsidRPr="00E5797D">
              <w:rPr>
                <w:color w:val="000000"/>
                <w:sz w:val="24"/>
                <w:szCs w:val="24"/>
              </w:rPr>
              <w:t xml:space="preserve"> (финансовой) отчетности, а также основные требования к инвентаризации активов и обязательств, осуществляемой в целях обеспечения достоверности данных бухгалтерского учета, бухгалтерской (финансовой) отчетности.</w:t>
            </w:r>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Приказ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tc>
        <w:tc>
          <w:tcPr>
            <w:tcW w:w="9639" w:type="dxa"/>
            <w:shd w:val="clear" w:color="auto" w:fill="FFFFFF" w:themeFill="background1"/>
          </w:tcPr>
          <w:p w:rsidR="003B2EAB" w:rsidRPr="00E5797D" w:rsidRDefault="003B2EAB" w:rsidP="003B2EAB">
            <w:pPr>
              <w:ind w:firstLine="0"/>
              <w:rPr>
                <w:rFonts w:ascii="Verdana" w:hAnsi="Verdana"/>
                <w:color w:val="000000"/>
                <w:sz w:val="21"/>
                <w:szCs w:val="21"/>
              </w:rPr>
            </w:pPr>
            <w:r w:rsidRPr="00E5797D">
              <w:rPr>
                <w:color w:val="000000"/>
                <w:sz w:val="24"/>
                <w:szCs w:val="24"/>
              </w:rPr>
              <w:t>Стандарт устанавливает единые требования к бухгалтерскому учету активов, классифицируемых как материальные запасы и незавершенное производство, а также требования к информации о запасах (результатах операций с ними), раскрываемой в бухгалтерской (финансовой) отчетности.</w:t>
            </w:r>
          </w:p>
          <w:p w:rsidR="00FC71DC" w:rsidRPr="00E5797D" w:rsidRDefault="00FC71DC" w:rsidP="001D5FA8">
            <w:pPr>
              <w:pStyle w:val="ConsPlusNormal"/>
              <w:spacing w:after="60"/>
              <w:ind w:firstLine="0"/>
              <w:rPr>
                <w:rFonts w:ascii="Times New Roman" w:hAnsi="Times New Roman" w:cs="Times New Roman"/>
                <w:sz w:val="24"/>
                <w:szCs w:val="24"/>
              </w:rPr>
            </w:pPr>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Приказ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tc>
        <w:tc>
          <w:tcPr>
            <w:tcW w:w="9639" w:type="dxa"/>
            <w:shd w:val="clear" w:color="auto" w:fill="FFFFFF" w:themeFill="background1"/>
          </w:tcPr>
          <w:p w:rsidR="003B2EAB" w:rsidRPr="00E5797D" w:rsidRDefault="003B2EAB" w:rsidP="003B2EAB">
            <w:pPr>
              <w:ind w:firstLine="0"/>
              <w:rPr>
                <w:rFonts w:ascii="Verdana" w:hAnsi="Verdana"/>
                <w:color w:val="000000"/>
                <w:sz w:val="21"/>
                <w:szCs w:val="21"/>
              </w:rPr>
            </w:pPr>
            <w:r w:rsidRPr="00E5797D">
              <w:rPr>
                <w:color w:val="000000"/>
                <w:sz w:val="24"/>
                <w:szCs w:val="24"/>
              </w:rPr>
              <w:t>Настоящий Стандарт устанавливает единые требования к бухгалтерскому учету активов, классифицируемых как основные средства, а также требования к информации об основных средствах (результатах операций с ними), раскрываемой в бухгалтерской (финансовой) отчетности.</w:t>
            </w:r>
          </w:p>
          <w:p w:rsidR="00FC71DC" w:rsidRPr="00E5797D" w:rsidRDefault="00FC71DC" w:rsidP="001D5FA8">
            <w:pPr>
              <w:pStyle w:val="ConsPlusNormal"/>
              <w:spacing w:after="60"/>
              <w:ind w:firstLine="0"/>
              <w:rPr>
                <w:rFonts w:ascii="Times New Roman" w:hAnsi="Times New Roman" w:cs="Times New Roman"/>
                <w:sz w:val="24"/>
                <w:szCs w:val="24"/>
              </w:rPr>
            </w:pPr>
          </w:p>
        </w:tc>
      </w:tr>
      <w:tr w:rsidR="00FC71DC" w:rsidRPr="00391594"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 xml:space="preserve">Приказ Министерства финансов Российской Федерации от 31 декабря 2016 г. № 258н «Об утверждении Федерального стандарта </w:t>
            </w:r>
            <w:r w:rsidRPr="00E5797D">
              <w:rPr>
                <w:rFonts w:ascii="Times New Roman" w:hAnsi="Times New Roman" w:cs="Times New Roman"/>
                <w:sz w:val="24"/>
                <w:szCs w:val="24"/>
              </w:rPr>
              <w:lastRenderedPageBreak/>
              <w:t>бухгалтерского учета для организаций государственного сектора «Аренда»</w:t>
            </w:r>
          </w:p>
        </w:tc>
        <w:tc>
          <w:tcPr>
            <w:tcW w:w="9639" w:type="dxa"/>
            <w:shd w:val="clear" w:color="auto" w:fill="FFFFFF" w:themeFill="background1"/>
          </w:tcPr>
          <w:p w:rsidR="00FC71DC" w:rsidRPr="00E5797D" w:rsidRDefault="00391594" w:rsidP="00391594">
            <w:pPr>
              <w:ind w:firstLine="0"/>
              <w:rPr>
                <w:sz w:val="24"/>
                <w:szCs w:val="24"/>
              </w:rPr>
            </w:pPr>
            <w:proofErr w:type="gramStart"/>
            <w:r w:rsidRPr="00E5797D">
              <w:rPr>
                <w:color w:val="000000"/>
                <w:sz w:val="24"/>
                <w:szCs w:val="24"/>
              </w:rPr>
              <w:lastRenderedPageBreak/>
              <w:t xml:space="preserve">Настоящий Стандарт применяется 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w:t>
            </w:r>
            <w:r w:rsidRPr="00E5797D">
              <w:rPr>
                <w:color w:val="000000"/>
                <w:sz w:val="24"/>
                <w:szCs w:val="24"/>
              </w:rPr>
              <w:lastRenderedPageBreak/>
              <w:t>во временное пользование материальных ценностей по договору аренды (имущественного найма) либо по договору безвозмездного пользования, а также при раскрытии в бухгалтерской (финансовой) отчетности информации об указанных объектах бухгалтерского учета, если иное не установлено</w:t>
            </w:r>
            <w:proofErr w:type="gramEnd"/>
            <w:r w:rsidRPr="00E5797D">
              <w:rPr>
                <w:color w:val="000000"/>
                <w:sz w:val="24"/>
                <w:szCs w:val="24"/>
              </w:rPr>
              <w:t xml:space="preserve"> </w:t>
            </w:r>
            <w:proofErr w:type="gramStart"/>
            <w:r w:rsidRPr="00E5797D">
              <w:rPr>
                <w:color w:val="000000"/>
                <w:sz w:val="24"/>
                <w:szCs w:val="24"/>
              </w:rPr>
              <w:t xml:space="preserve">другими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бюджетным законодательством Российской Федерации, и </w:t>
            </w:r>
            <w:hyperlink r:id="rId12" w:history="1">
              <w:r w:rsidRPr="00E5797D">
                <w:rPr>
                  <w:rStyle w:val="af1"/>
                  <w:color w:val="000000"/>
                  <w:sz w:val="24"/>
                  <w:szCs w:val="24"/>
                  <w:u w:val="none"/>
                </w:rPr>
                <w:t>Инструкцией</w:t>
              </w:r>
            </w:hyperlink>
            <w:r w:rsidRPr="00E5797D">
              <w:rPr>
                <w:color w:val="000000"/>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lastRenderedPageBreak/>
              <w:t>Приказ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tc>
        <w:tc>
          <w:tcPr>
            <w:tcW w:w="9639" w:type="dxa"/>
            <w:shd w:val="clear" w:color="auto" w:fill="FFFFFF" w:themeFill="background1"/>
          </w:tcPr>
          <w:p w:rsidR="00FC71DC" w:rsidRPr="00E5797D" w:rsidRDefault="00391594" w:rsidP="00391594">
            <w:pPr>
              <w:ind w:firstLine="0"/>
              <w:rPr>
                <w:rFonts w:ascii="Verdana" w:hAnsi="Verdana"/>
                <w:color w:val="000000"/>
                <w:sz w:val="21"/>
                <w:szCs w:val="21"/>
              </w:rPr>
            </w:pPr>
            <w:proofErr w:type="gramStart"/>
            <w:r w:rsidRPr="00E5797D">
              <w:rPr>
                <w:color w:val="000000"/>
                <w:sz w:val="24"/>
                <w:szCs w:val="24"/>
              </w:rPr>
              <w:t xml:space="preserve">Настоящий Стандарт устанавливает единые требования к порядку выявления признаков обесценения активов, признаков снижения убытка от обесценения активов, классификацию и состав таких признаков, требования к порядку признания (восстановления) убытков от обесценения активов в бухгалтерском учете, к </w:t>
            </w:r>
            <w:proofErr w:type="spellStart"/>
            <w:r w:rsidRPr="00E5797D">
              <w:rPr>
                <w:color w:val="000000"/>
                <w:sz w:val="24"/>
                <w:szCs w:val="24"/>
              </w:rPr>
              <w:t>реклассификации</w:t>
            </w:r>
            <w:proofErr w:type="spellEnd"/>
            <w:r w:rsidRPr="00E5797D">
              <w:rPr>
                <w:color w:val="000000"/>
                <w:sz w:val="24"/>
                <w:szCs w:val="24"/>
              </w:rPr>
              <w:t xml:space="preserve"> активов для целей обесценения, а также к информации, раскрываемой в бухгалтерской (финансовой) отчетности в результате признания (восстановления) убытков от обесценения активов.</w:t>
            </w:r>
            <w:proofErr w:type="gramEnd"/>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Приказ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tc>
        <w:tc>
          <w:tcPr>
            <w:tcW w:w="9639" w:type="dxa"/>
            <w:shd w:val="clear" w:color="auto" w:fill="FFFFFF" w:themeFill="background1"/>
          </w:tcPr>
          <w:p w:rsidR="00FC71DC" w:rsidRPr="00E5797D" w:rsidRDefault="00CB2CC2" w:rsidP="00CB2CC2">
            <w:pPr>
              <w:ind w:firstLine="0"/>
              <w:rPr>
                <w:rFonts w:ascii="Verdana" w:hAnsi="Verdana"/>
                <w:color w:val="000000"/>
                <w:sz w:val="24"/>
                <w:szCs w:val="24"/>
              </w:rPr>
            </w:pPr>
            <w:proofErr w:type="gramStart"/>
            <w:r w:rsidRPr="00E5797D">
              <w:rPr>
                <w:color w:val="000000"/>
                <w:sz w:val="24"/>
                <w:szCs w:val="24"/>
              </w:rPr>
              <w:t>Положения настоящего Стандарта применяются при формировании как индивидуальной, так и консолидированной бухгалтерской (финансовой) отчетности общего назначения, а также при публичном раскрытии показателей бухгалтерской (финансовой) отчетности, если иное не предусмотрено настоящим Стандартом, а также иными федеральными стандартами бухгалтерского учета для организаций государственного сектора Российской Федерации, единой методологии бюджетного учета и бюджетной отчетности, установленной в соответствии с бюджетным законодательством Российской Федерации, и</w:t>
            </w:r>
            <w:proofErr w:type="gramEnd"/>
            <w:r w:rsidRPr="00E5797D">
              <w:rPr>
                <w:color w:val="000000"/>
                <w:sz w:val="24"/>
                <w:szCs w:val="24"/>
              </w:rPr>
              <w:t xml:space="preserve"> </w:t>
            </w:r>
            <w:hyperlink r:id="rId13" w:history="1">
              <w:r w:rsidRPr="00E5797D">
                <w:rPr>
                  <w:rStyle w:val="af1"/>
                  <w:color w:val="000000"/>
                  <w:sz w:val="24"/>
                  <w:szCs w:val="24"/>
                  <w:u w:val="none"/>
                </w:rPr>
                <w:t>Инструкцией</w:t>
              </w:r>
            </w:hyperlink>
            <w:r w:rsidRPr="00E5797D">
              <w:rPr>
                <w:color w:val="000000"/>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 xml:space="preserve">Приказ Министерства финансов Российской Федерации от 30 декабря 2017 г. № 278н «Об утверждении Федерального стандарта бухгалтерского учета для организаций </w:t>
            </w:r>
            <w:r w:rsidRPr="00E5797D">
              <w:rPr>
                <w:rFonts w:ascii="Times New Roman" w:hAnsi="Times New Roman" w:cs="Times New Roman"/>
                <w:sz w:val="24"/>
                <w:szCs w:val="24"/>
              </w:rPr>
              <w:lastRenderedPageBreak/>
              <w:t>государственного сектора «Отчет о движении денежных средств»</w:t>
            </w:r>
          </w:p>
        </w:tc>
        <w:tc>
          <w:tcPr>
            <w:tcW w:w="9639" w:type="dxa"/>
            <w:shd w:val="clear" w:color="auto" w:fill="FFFFFF" w:themeFill="background1"/>
          </w:tcPr>
          <w:p w:rsidR="00FC71DC" w:rsidRPr="00E5797D" w:rsidRDefault="00190A90" w:rsidP="00190A90">
            <w:pPr>
              <w:ind w:firstLine="0"/>
              <w:rPr>
                <w:rFonts w:ascii="Verdana" w:hAnsi="Verdana"/>
                <w:color w:val="000000"/>
                <w:sz w:val="24"/>
                <w:szCs w:val="24"/>
              </w:rPr>
            </w:pPr>
            <w:proofErr w:type="gramStart"/>
            <w:r w:rsidRPr="00E5797D">
              <w:rPr>
                <w:color w:val="000000"/>
                <w:sz w:val="24"/>
                <w:szCs w:val="24"/>
              </w:rPr>
              <w:lastRenderedPageBreak/>
              <w:t xml:space="preserve">Положения настоящего Стандарта устанавливают методические основы формирования субъектами отчетности Отчета о движении денежных средств, если иное не предусмотрено другими федеральными стандартами бухгалтерского учета для организаций государственного сектора, единой методологией бюджетного учета и бюджетной </w:t>
            </w:r>
            <w:r w:rsidRPr="00E5797D">
              <w:rPr>
                <w:color w:val="000000"/>
                <w:sz w:val="24"/>
                <w:szCs w:val="24"/>
              </w:rPr>
              <w:lastRenderedPageBreak/>
              <w:t xml:space="preserve">отчетности, установленной в соответствии с бюджетным законодательством Российской Федерации, и </w:t>
            </w:r>
            <w:hyperlink r:id="rId14" w:history="1">
              <w:r w:rsidRPr="00E5797D">
                <w:rPr>
                  <w:rStyle w:val="af1"/>
                  <w:color w:val="000000"/>
                  <w:sz w:val="24"/>
                  <w:szCs w:val="24"/>
                  <w:u w:val="none"/>
                </w:rPr>
                <w:t>Инструкцией</w:t>
              </w:r>
            </w:hyperlink>
            <w:r w:rsidRPr="00E5797D">
              <w:rPr>
                <w:color w:val="000000"/>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lastRenderedPageBreak/>
              <w:t>Приказ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tc>
        <w:tc>
          <w:tcPr>
            <w:tcW w:w="9639" w:type="dxa"/>
            <w:shd w:val="clear" w:color="auto" w:fill="FFFFFF" w:themeFill="background1"/>
          </w:tcPr>
          <w:p w:rsidR="00190A90" w:rsidRPr="00E5797D" w:rsidRDefault="00190A90" w:rsidP="00190A90">
            <w:pPr>
              <w:ind w:firstLine="0"/>
              <w:rPr>
                <w:rFonts w:ascii="Verdana" w:hAnsi="Verdana"/>
                <w:color w:val="000000"/>
                <w:sz w:val="21"/>
                <w:szCs w:val="21"/>
              </w:rPr>
            </w:pPr>
            <w:r w:rsidRPr="00E5797D">
              <w:rPr>
                <w:color w:val="000000"/>
                <w:sz w:val="24"/>
                <w:szCs w:val="24"/>
              </w:rPr>
              <w:t>Настоящий Стандарт устанавливает единые требования к формированию, утверждению и изменению учетной политики, а также правила отражения в бухгалтерской (финансовой) отчетности последствий изменения учетной политики, оценочных значений и исправлений ошибок.</w:t>
            </w:r>
          </w:p>
          <w:p w:rsidR="00FC71DC" w:rsidRPr="00E5797D" w:rsidRDefault="00FC71DC" w:rsidP="001D5FA8">
            <w:pPr>
              <w:pStyle w:val="ConsPlusNormal"/>
              <w:spacing w:after="60"/>
              <w:ind w:firstLine="0"/>
              <w:rPr>
                <w:rFonts w:ascii="Times New Roman" w:hAnsi="Times New Roman" w:cs="Times New Roman"/>
                <w:sz w:val="24"/>
                <w:szCs w:val="24"/>
              </w:rPr>
            </w:pPr>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Приказ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w:t>
            </w:r>
          </w:p>
        </w:tc>
        <w:tc>
          <w:tcPr>
            <w:tcW w:w="9639" w:type="dxa"/>
            <w:shd w:val="clear" w:color="auto" w:fill="FFFFFF" w:themeFill="background1"/>
          </w:tcPr>
          <w:p w:rsidR="00FC71DC" w:rsidRPr="00E5797D" w:rsidRDefault="00C5698F" w:rsidP="00C5698F">
            <w:pPr>
              <w:ind w:firstLine="0"/>
              <w:rPr>
                <w:rFonts w:ascii="Verdana" w:hAnsi="Verdana"/>
                <w:color w:val="000000"/>
                <w:sz w:val="21"/>
                <w:szCs w:val="21"/>
              </w:rPr>
            </w:pPr>
            <w:proofErr w:type="gramStart"/>
            <w:r w:rsidRPr="00E5797D">
              <w:rPr>
                <w:color w:val="000000"/>
                <w:sz w:val="24"/>
                <w:szCs w:val="24"/>
              </w:rPr>
              <w:t>Настоящий Стандарт устанавливает классификацию фактов хозяйственной жизни, которые возникли в период между отчетной датой и датой подписания и (или) принятия бухгалтерской (финансовой) отчетности за отчетный период и которые оказали или могут оказать существенное влияние на финансовое положение, финансовый результат и (или) движение денежных средств субъекта отчетности, правила отражения в бухгалтерском учете указанных фактов хозяйственной жизни, а также правила раскрытия информации</w:t>
            </w:r>
            <w:proofErr w:type="gramEnd"/>
            <w:r w:rsidRPr="00E5797D">
              <w:rPr>
                <w:color w:val="000000"/>
                <w:sz w:val="24"/>
                <w:szCs w:val="24"/>
              </w:rPr>
              <w:t xml:space="preserve"> о событиях после отчетной даты при составлении и представлении бухгалтерской (финансовой) отчетности.</w:t>
            </w:r>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Приказ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tc>
        <w:tc>
          <w:tcPr>
            <w:tcW w:w="9639" w:type="dxa"/>
            <w:shd w:val="clear" w:color="auto" w:fill="FFFFFF" w:themeFill="background1"/>
          </w:tcPr>
          <w:p w:rsidR="00C5698F" w:rsidRPr="00E5797D" w:rsidRDefault="00C5698F" w:rsidP="00C5698F">
            <w:pPr>
              <w:ind w:firstLine="0"/>
              <w:rPr>
                <w:rFonts w:ascii="Verdana" w:hAnsi="Verdana"/>
                <w:color w:val="000000"/>
                <w:sz w:val="24"/>
                <w:szCs w:val="24"/>
              </w:rPr>
            </w:pPr>
            <w:r w:rsidRPr="00E5797D">
              <w:rPr>
                <w:color w:val="000000"/>
                <w:sz w:val="24"/>
                <w:szCs w:val="24"/>
              </w:rPr>
              <w:t xml:space="preserve">Положения настоящего Стандарта применяются одновременно с применением положений федерального </w:t>
            </w:r>
            <w:hyperlink r:id="rId15" w:history="1">
              <w:r w:rsidRPr="00E5797D">
                <w:rPr>
                  <w:rStyle w:val="af1"/>
                  <w:color w:val="000000"/>
                  <w:sz w:val="24"/>
                  <w:szCs w:val="24"/>
                  <w:u w:val="none"/>
                </w:rPr>
                <w:t>стандарта</w:t>
              </w:r>
            </w:hyperlink>
            <w:r w:rsidRPr="00E5797D">
              <w:rPr>
                <w:color w:val="000000"/>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FC71DC" w:rsidRPr="00E5797D" w:rsidRDefault="00FC71DC" w:rsidP="001D5FA8">
            <w:pPr>
              <w:pStyle w:val="ConsPlusNormal"/>
              <w:spacing w:after="60"/>
              <w:ind w:firstLine="0"/>
              <w:rPr>
                <w:rFonts w:ascii="Times New Roman" w:hAnsi="Times New Roman" w:cs="Times New Roman"/>
                <w:sz w:val="24"/>
                <w:szCs w:val="24"/>
              </w:rPr>
            </w:pPr>
          </w:p>
        </w:tc>
      </w:tr>
      <w:tr w:rsidR="00FC71DC" w:rsidRPr="001D5FA8" w:rsidTr="001D5FA8">
        <w:tc>
          <w:tcPr>
            <w:tcW w:w="4962" w:type="dxa"/>
            <w:shd w:val="clear" w:color="auto" w:fill="FFFFFF" w:themeFill="background1"/>
          </w:tcPr>
          <w:p w:rsidR="00FC71DC" w:rsidRPr="00E5797D" w:rsidRDefault="00FC71DC" w:rsidP="00FC71DC">
            <w:pPr>
              <w:pStyle w:val="ConsPlusNormal"/>
              <w:spacing w:after="60"/>
              <w:ind w:firstLine="0"/>
              <w:rPr>
                <w:sz w:val="24"/>
                <w:szCs w:val="24"/>
              </w:rPr>
            </w:pPr>
            <w:r w:rsidRPr="00E5797D">
              <w:rPr>
                <w:rFonts w:ascii="Times New Roman" w:hAnsi="Times New Roman" w:cs="Times New Roman"/>
                <w:sz w:val="24"/>
                <w:szCs w:val="24"/>
              </w:rPr>
              <w:t>Приказ Министерства финансов Российской Федерации от 30 мая 2018 г. №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tc>
        <w:tc>
          <w:tcPr>
            <w:tcW w:w="9639" w:type="dxa"/>
            <w:shd w:val="clear" w:color="auto" w:fill="FFFFFF" w:themeFill="background1"/>
          </w:tcPr>
          <w:p w:rsidR="0022059C" w:rsidRPr="00E5797D" w:rsidRDefault="0022059C" w:rsidP="0022059C">
            <w:pPr>
              <w:ind w:firstLine="0"/>
              <w:rPr>
                <w:rFonts w:ascii="Verdana" w:hAnsi="Verdana"/>
                <w:color w:val="000000"/>
                <w:sz w:val="21"/>
                <w:szCs w:val="21"/>
              </w:rPr>
            </w:pPr>
            <w:r w:rsidRPr="00E5797D">
              <w:rPr>
                <w:color w:val="000000"/>
                <w:sz w:val="24"/>
                <w:szCs w:val="24"/>
              </w:rPr>
              <w:t>Стандарт устанавливает единый порядок пересчета стоимости объектов бухгалтерского учета, выраженной в иностранной валюте, в валюту Российской Федерации, методы пересчета показателей активов и обязательств, финансовых результатов деятельности загранучреждений, а также порядок раскрытия информации о результатах пересчета указанных показателей в бухгалтерской (финансовой) отчетности субъекта учета.</w:t>
            </w:r>
          </w:p>
          <w:p w:rsidR="00FC71DC" w:rsidRPr="00E5797D" w:rsidRDefault="00FC71DC" w:rsidP="001D5FA8">
            <w:pPr>
              <w:pStyle w:val="ConsPlusNormal"/>
              <w:spacing w:after="60"/>
              <w:ind w:firstLine="0"/>
              <w:rPr>
                <w:rFonts w:ascii="Times New Roman" w:hAnsi="Times New Roman" w:cs="Times New Roman"/>
                <w:sz w:val="24"/>
                <w:szCs w:val="24"/>
              </w:rPr>
            </w:pPr>
          </w:p>
        </w:tc>
      </w:tr>
      <w:tr w:rsidR="000B1D73" w:rsidRPr="001D5FA8" w:rsidTr="001D5FA8">
        <w:tc>
          <w:tcPr>
            <w:tcW w:w="4962" w:type="dxa"/>
            <w:shd w:val="clear" w:color="auto" w:fill="FFFFFF" w:themeFill="background1"/>
          </w:tcPr>
          <w:p w:rsidR="000B1D73" w:rsidRPr="00F23C17" w:rsidRDefault="0088494B" w:rsidP="001D5FA8">
            <w:pPr>
              <w:pStyle w:val="ConsPlusNormal"/>
              <w:spacing w:after="60"/>
              <w:ind w:firstLine="0"/>
              <w:rPr>
                <w:rFonts w:ascii="Times New Roman" w:hAnsi="Times New Roman" w:cs="Times New Roman"/>
                <w:sz w:val="24"/>
                <w:szCs w:val="24"/>
              </w:rPr>
            </w:pPr>
            <w:hyperlink r:id="rId16" w:history="1">
              <w:r w:rsidR="00F23C17" w:rsidRPr="00F23C17">
                <w:rPr>
                  <w:rFonts w:ascii="Times New Roman" w:hAnsi="Times New Roman" w:cs="Times New Roman"/>
                  <w:sz w:val="24"/>
                  <w:szCs w:val="24"/>
                </w:rPr>
                <w:t>Приказ</w:t>
              </w:r>
            </w:hyperlink>
            <w:r w:rsidR="00F23C17" w:rsidRPr="00F23C17">
              <w:rPr>
                <w:rFonts w:ascii="Times New Roman" w:hAnsi="Times New Roman" w:cs="Times New Roman"/>
                <w:sz w:val="24"/>
                <w:szCs w:val="24"/>
              </w:rPr>
              <w:t xml:space="preserve">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Приказом утвержден перечень и формы унифицированных форм первичных учетных документов, регистров бухгалтерского учета, а также Методические указания по применению форм первичных учетных документов и формированию регистров бухгалтерского учета</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Постановление Минтруда и </w:t>
            </w:r>
            <w:proofErr w:type="spellStart"/>
            <w:r w:rsidRPr="001D5FA8">
              <w:rPr>
                <w:rFonts w:ascii="Times New Roman" w:hAnsi="Times New Roman" w:cs="Times New Roman"/>
                <w:sz w:val="24"/>
                <w:szCs w:val="24"/>
              </w:rPr>
              <w:t>Соцразвития</w:t>
            </w:r>
            <w:proofErr w:type="spellEnd"/>
            <w:r w:rsidRPr="001D5FA8">
              <w:rPr>
                <w:rFonts w:ascii="Times New Roman" w:hAnsi="Times New Roman" w:cs="Times New Roman"/>
                <w:sz w:val="24"/>
                <w:szCs w:val="24"/>
              </w:rPr>
              <w:t xml:space="preserve"> РФ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Утверждены перечни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за недостачу вверенного имущества, типовые формы договора о полной индивидуальной материальной ответственности и договора о полной коллективной (бригадной) материальной ответственности</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Правительства Москвы от 19.08.2014 № 466-ПП «Об универсальной автоматизированной системе бюджетного учета»</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Утверждено Положение об универсальной автоматизированной системе бюджетного учета, которое определяет назначение, основные принципы и правила функционирования универсальной автоматизированной системы бюджетного учета (УАИС Бюджетный учет), состав участников информационного взаимодействия с использованием УАИС Бюджетный учет и их полномочия.</w:t>
            </w:r>
          </w:p>
          <w:p w:rsidR="000B1D73" w:rsidRPr="001D5FA8" w:rsidRDefault="000B1D73"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 xml:space="preserve">Переход на ведение бухгалтерского учета органами исполнительной власти города Москвы и государственными учреждениями города Москвы, а также переход на ведение кадрового учета и расчета заработной платы работников государственных учреждений </w:t>
            </w:r>
            <w:r w:rsidRPr="001D5FA8">
              <w:rPr>
                <w:rFonts w:ascii="Times New Roman" w:hAnsi="Times New Roman" w:cs="Times New Roman"/>
                <w:sz w:val="24"/>
                <w:szCs w:val="24"/>
              </w:rPr>
              <w:lastRenderedPageBreak/>
              <w:t>города Москвы, контроль за показателями исполнения бюджета города Москвы и государственных программ города Москвы в УАИС Бюджетный учет осуществляется с 1 сентября 2014 г. по 1 мая 2016 г.</w:t>
            </w:r>
            <w:proofErr w:type="gramEnd"/>
          </w:p>
        </w:tc>
      </w:tr>
      <w:tr w:rsidR="000B1D73" w:rsidRPr="001D5FA8" w:rsidTr="001D5FA8">
        <w:tc>
          <w:tcPr>
            <w:tcW w:w="14601" w:type="dxa"/>
            <w:gridSpan w:val="2"/>
            <w:shd w:val="clear" w:color="auto" w:fill="FFFFFF" w:themeFill="background1"/>
          </w:tcPr>
          <w:p w:rsidR="000B1D73" w:rsidRPr="001D5FA8" w:rsidRDefault="000B1D73" w:rsidP="001D5FA8">
            <w:pPr>
              <w:spacing w:after="240"/>
              <w:ind w:right="210" w:firstLine="0"/>
              <w:jc w:val="left"/>
              <w:rPr>
                <w:b/>
                <w:sz w:val="24"/>
                <w:szCs w:val="24"/>
              </w:rPr>
            </w:pPr>
            <w:r w:rsidRPr="001D5FA8">
              <w:rPr>
                <w:b/>
                <w:sz w:val="24"/>
                <w:szCs w:val="24"/>
              </w:rPr>
              <w:lastRenderedPageBreak/>
              <w:t>Нормативные акты, регламентирующие составление и представление бухгалтерской, налоговой отчетности</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Инструкция устанавливает порядок составления и представления годовой, квартальной бухгалтерской отчетности государственных (муниципальных) бюджетных и автономных учреждений</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Минфина РФ от 30.09.2010 № 114н «Об общих требованиях к порядку составления и утверждения отчета </w:t>
            </w:r>
            <w:proofErr w:type="spellStart"/>
            <w:r w:rsidRPr="001D5FA8">
              <w:rPr>
                <w:rFonts w:ascii="Times New Roman" w:hAnsi="Times New Roman" w:cs="Times New Roman"/>
                <w:sz w:val="24"/>
                <w:szCs w:val="24"/>
              </w:rPr>
              <w:t>орезультата</w:t>
            </w:r>
            <w:proofErr w:type="spellEnd"/>
            <w:r w:rsidRPr="001D5FA8">
              <w:rPr>
                <w:rFonts w:ascii="Times New Roman" w:hAnsi="Times New Roman" w:cs="Times New Roman"/>
                <w:sz w:val="24"/>
                <w:szCs w:val="24"/>
              </w:rPr>
              <w:t xml:space="preserve"> деятельности государственного (муниципального) учреждения и об использовании закрепленного за ним государственного (муниципального) имущества»</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Определение общих требований к составлению и утверждению Отчета о результатах деятельности государственного (муниципального) учреждения и об использовании закрепленного за ними государственного (муниципального) имущества</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Минфина РФ от 15.10.2009 № 104н «Об утверждении формы налоговой декларации по налогу на добавленную стоимость и Порядка ее заполнения»</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Утверждены порядок заполнения налоговой декларации по НДС и Порядок заполнения налоговой декларации по налогу на добавленную стоимость</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ФНС России от 22.03.2012 № ММВ-7-3/174@ «Об утверждении формы и формата представления налоговой декларации по налогу на прибыль организаций, Порядка ее заполнения»</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Утверждены форма налоговой декларации по налогу на прибыль организаций, формат представления налоговой декларации по налогу на прибыль организаций, Порядок заполнения налоговой декларации по налогу на прибыль организаций </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Приказ ФНС РФ от 21.11.2011 № ММВ-7-3/892@ «Об утверждении формы Сведений о доле доходов организации от осуществления образовательной и (или) медицинской деятельности в общей сумме доходов, о численности работников в штате организации и о численности медицинского персонала, имеющего сертификат специалиста, в штате организации»</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Утверждена форма Сведений о доле доходов организации от осуществления образовательной и (или) медицинской деятельности в общей сумме доходов, о численности работников в штате организации и о численности медицинского персонала, имеющего сертификат специалиста, в штате организации </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Утверждены формы налоговой декларации по налогу на имущество организаций, налогового расчета по авансовому платежу по налогу на имущество организаций, форматы представления налоговой декларации по налогу на имущество организаций и налогового расчета по авансовому платежу по налогу на имущество в электронном виде</w:t>
            </w:r>
            <w:proofErr w:type="gramStart"/>
            <w:r w:rsidRPr="001D5FA8">
              <w:rPr>
                <w:rFonts w:ascii="Times New Roman" w:hAnsi="Times New Roman" w:cs="Times New Roman"/>
                <w:sz w:val="24"/>
                <w:szCs w:val="24"/>
              </w:rPr>
              <w:t xml:space="preserve"> ,</w:t>
            </w:r>
            <w:proofErr w:type="gramEnd"/>
            <w:r w:rsidRPr="001D5FA8">
              <w:rPr>
                <w:rFonts w:ascii="Times New Roman" w:hAnsi="Times New Roman" w:cs="Times New Roman"/>
                <w:sz w:val="24"/>
                <w:szCs w:val="24"/>
              </w:rPr>
              <w:t xml:space="preserve"> а также Порядок заполнения налоговой декларации по налогу на имущество организаций и Порядок заполнения налогового расчета по авансовому платежу по налогу на имущество организаций </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ФНС России от 28.10.2011 № ММВ-7-11/696@ «Об утверждении формы и формата представления налоговой декларации по земельному налогу в электронном виде и Порядка ее заполнения»</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Утверждены форма налоговой декларации по земельному налогу, формат представления налоговой декларации по земельному налогу в электронном виде и Порядок заполнения налоговой декларации по земельному налогу </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ФНС России от 20.02.2012 № ММВ-7-11/99@ «Об утверждении формы и формата представления налоговой декларации по транспортному налогу в электронном виде и Порядка ее заполнения»</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Утверждены форма налоговой декларации по транспортному налогу, формат представления налоговой декларации по транспортному налогу в электронном виде и Порядок заполнения налоговой декларации по транспортному налогу </w:t>
            </w:r>
          </w:p>
          <w:p w:rsidR="000B1D73" w:rsidRPr="001D5FA8" w:rsidRDefault="000B1D73" w:rsidP="001D5FA8">
            <w:pPr>
              <w:pStyle w:val="ConsPlusNormal"/>
              <w:spacing w:after="60"/>
              <w:ind w:firstLine="0"/>
              <w:rPr>
                <w:rFonts w:ascii="Times New Roman" w:hAnsi="Times New Roman" w:cs="Times New Roman"/>
                <w:sz w:val="24"/>
                <w:szCs w:val="24"/>
              </w:rPr>
            </w:pP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Письмо Минфина России от 28.03.2013 № 02-06-07/9937 «По вопросу о представлении в налоговые органы бухгалтерской </w:t>
            </w:r>
            <w:r w:rsidRPr="001D5FA8">
              <w:rPr>
                <w:rFonts w:ascii="Times New Roman" w:hAnsi="Times New Roman" w:cs="Times New Roman"/>
                <w:sz w:val="24"/>
                <w:szCs w:val="24"/>
              </w:rPr>
              <w:lastRenderedPageBreak/>
              <w:t>(бюджетной) отчетности организаций сектора государственного управления»</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Определен состав форм отчетности для получателей бюджетных средств, бюджетных и автономных учреждений с целью представления отчетности в налоговые органы</w:t>
            </w:r>
          </w:p>
          <w:p w:rsidR="000B1D73" w:rsidRPr="001D5FA8" w:rsidRDefault="000B1D73" w:rsidP="001D5FA8">
            <w:pPr>
              <w:pStyle w:val="ConsPlusNormal"/>
              <w:spacing w:after="60"/>
              <w:ind w:firstLine="0"/>
              <w:rPr>
                <w:rFonts w:ascii="Times New Roman" w:hAnsi="Times New Roman" w:cs="Times New Roman"/>
                <w:sz w:val="24"/>
                <w:szCs w:val="24"/>
              </w:rPr>
            </w:pP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Закон города Москвы № 64 от 05.11.2003 «О налоге на имущество организаций»</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Закон в соответствии с Налоговым кодексом Российской Федерации устанавливает на территории города Москвы ставку налога на имущество организаций, порядок и сроки уплаты налога, налоговые льготы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Закон города Москвы № 74 от 24.11.2004 «О земельном налоге»</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Законом в соответствии с Налоговым кодексом Российской Федерации на территории города Москвы определяются ставки земельного налога, порядок и сроки уплаты налога, налоговые льготы, включая размер не облагаемой налогом суммы для отдельных категорий налогоплательщиков, а также порядок и сроки представления налогоплательщиками документов, подтверждающих право на уменьшение налоговой базы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Закон города Москвы № 33 от 09.07.2008 «О транспортном налоге»</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Законом в соответствии с Налоговым кодексом Российской Федерации на территории города Москвы определяются ставки транспортного налога, порядок и сроки уплаты налога, налоговые льготы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Департамента здравоохранения города Москвы от 01.04.2011 № 278 «Об утверждении Порядка составления и утверждения Отчета о результатах деятельности государственного учреждения, подведомственного Департаменту здравоохранения города Москвы, и об использовании закрепленного за ним государственного имущества»</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Порядок устанавливает правила составления и утверждения отчетов о результатах деятельности бюджетного и казенного учреждения, подведомственного Департаменту здравоохранения города Москвы, и об использовании закрепленного за ним государственного имущества</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Контрольные соотношения к показателям бухгалтерской отчетности государственных (муниципальных) бюджетных и автономных учреждений, представляемой в Департамент финансов города Москвы, размещенные на </w:t>
            </w:r>
            <w:r w:rsidRPr="001D5FA8">
              <w:rPr>
                <w:rFonts w:ascii="Times New Roman" w:hAnsi="Times New Roman" w:cs="Times New Roman"/>
                <w:sz w:val="24"/>
                <w:szCs w:val="24"/>
              </w:rPr>
              <w:lastRenderedPageBreak/>
              <w:t xml:space="preserve">сайте </w:t>
            </w:r>
            <w:proofErr w:type="spellStart"/>
            <w:r w:rsidRPr="001D5FA8">
              <w:rPr>
                <w:rFonts w:ascii="Times New Roman" w:hAnsi="Times New Roman" w:cs="Times New Roman"/>
                <w:sz w:val="24"/>
                <w:szCs w:val="24"/>
              </w:rPr>
              <w:t>findep.mos.ru</w:t>
            </w:r>
            <w:proofErr w:type="spellEnd"/>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Контрольные соотношения внутри форм бухгалтерской отчетности, между показателями форм бухгалтерской отчетности бюджетных и автономных учреждений (квартал, год), а также Требования к соответствию показателей сводной бухгалтерской отчетности государственных (муниципальных) бюджетных и автономных учреждений показателям бюджетной отчетности главных распорядителей средств бюджетов, осуществляющих </w:t>
            </w:r>
            <w:r w:rsidRPr="001D5FA8">
              <w:rPr>
                <w:rFonts w:ascii="Times New Roman" w:hAnsi="Times New Roman" w:cs="Times New Roman"/>
                <w:sz w:val="24"/>
                <w:szCs w:val="24"/>
              </w:rPr>
              <w:lastRenderedPageBreak/>
              <w:t>функции и полномочия учредителей (квартал, год)</w:t>
            </w:r>
          </w:p>
        </w:tc>
      </w:tr>
      <w:tr w:rsidR="000B1D73" w:rsidRPr="001D5FA8" w:rsidTr="001D5FA8">
        <w:tc>
          <w:tcPr>
            <w:tcW w:w="14601" w:type="dxa"/>
            <w:gridSpan w:val="2"/>
            <w:shd w:val="clear" w:color="auto" w:fill="FFFFFF" w:themeFill="background1"/>
          </w:tcPr>
          <w:p w:rsidR="000B1D73" w:rsidRPr="001D5FA8" w:rsidRDefault="000B1D73" w:rsidP="001D5FA8">
            <w:pPr>
              <w:spacing w:after="240"/>
              <w:ind w:right="210" w:firstLine="0"/>
              <w:jc w:val="left"/>
              <w:rPr>
                <w:b/>
                <w:sz w:val="24"/>
                <w:szCs w:val="24"/>
              </w:rPr>
            </w:pPr>
            <w:r w:rsidRPr="001D5FA8">
              <w:rPr>
                <w:b/>
                <w:sz w:val="24"/>
                <w:szCs w:val="24"/>
              </w:rPr>
              <w:lastRenderedPageBreak/>
              <w:t>Нормативные акты, регламентирующие учет нефинансовых активов</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Федеральный закон от 12.04.2010 № 61-ФЗ «Об обращении лекарственных средств»</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roofErr w:type="gramEnd"/>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Правительства РФ от 26.07.2010 № 538 «О порядке отнесения имущества автономного или бюджетного учреждения к категории особо ценного движимого имущества»</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Установлено кем определяются виды и перечни особо ценного движимого имущества, а </w:t>
            </w:r>
            <w:proofErr w:type="gramStart"/>
            <w:r w:rsidRPr="001D5FA8">
              <w:rPr>
                <w:rFonts w:ascii="Times New Roman" w:hAnsi="Times New Roman" w:cs="Times New Roman"/>
                <w:sz w:val="24"/>
                <w:szCs w:val="24"/>
              </w:rPr>
              <w:t>также</w:t>
            </w:r>
            <w:proofErr w:type="gramEnd"/>
            <w:r w:rsidRPr="001D5FA8">
              <w:rPr>
                <w:rFonts w:ascii="Times New Roman" w:hAnsi="Times New Roman" w:cs="Times New Roman"/>
                <w:sz w:val="24"/>
                <w:szCs w:val="24"/>
              </w:rPr>
              <w:t xml:space="preserve"> какое имущество подлежит включению в перечень особо ценного движимого имущества автономных или бюджетных учреждений </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Правительства РФ от 21.12.2010 № 1077-ПП «О порядке определения видов и перечней особо ценного движимого имущества государственных бюджетных и автономных учреждений города Москвы»</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 </w:t>
            </w:r>
            <w:hyperlink r:id="rId17" w:history="1">
              <w:r w:rsidRPr="001D5FA8">
                <w:rPr>
                  <w:rFonts w:ascii="Times New Roman" w:hAnsi="Times New Roman" w:cs="Times New Roman"/>
                  <w:sz w:val="24"/>
                  <w:szCs w:val="24"/>
                </w:rPr>
                <w:t>Порядок</w:t>
              </w:r>
            </w:hyperlink>
            <w:r w:rsidRPr="001D5FA8">
              <w:rPr>
                <w:rFonts w:ascii="Times New Roman" w:hAnsi="Times New Roman" w:cs="Times New Roman"/>
                <w:sz w:val="24"/>
                <w:szCs w:val="24"/>
              </w:rPr>
              <w:t xml:space="preserve"> определения видов и перечней особо ценного движимого имущества государственных бюджетных и автономных учреждений города Москвы согласно приложению к постановлению</w:t>
            </w:r>
          </w:p>
          <w:p w:rsidR="000B1D73" w:rsidRPr="001D5FA8" w:rsidRDefault="000B1D73" w:rsidP="001D5FA8">
            <w:pPr>
              <w:pStyle w:val="ConsPlusNormal"/>
              <w:spacing w:after="60"/>
              <w:ind w:firstLine="0"/>
              <w:rPr>
                <w:rFonts w:ascii="Times New Roman" w:hAnsi="Times New Roman" w:cs="Times New Roman"/>
                <w:sz w:val="24"/>
                <w:szCs w:val="24"/>
              </w:rPr>
            </w:pP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Правительства РФ от 29.06.2010 № 540-ПП «Об утверждении положения об управлении объектами нежилого фонда, находящимися в собственности города Москвы»</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Утверждены: </w:t>
            </w:r>
            <w:proofErr w:type="gramStart"/>
            <w:r w:rsidRPr="001D5FA8">
              <w:rPr>
                <w:rFonts w:ascii="Times New Roman" w:hAnsi="Times New Roman" w:cs="Times New Roman"/>
                <w:sz w:val="24"/>
                <w:szCs w:val="24"/>
              </w:rPr>
              <w:t>Положение об управлении объектами нежилого фонда, находящимися в собственности города Москвы; Типовая форма реестрового дела объекта нежилого фонда, находящегося в собственности города Москвы; Типовой договор безвозмездного пользования (ссуды) объектом нежилого фонда, находящимся в собственности города Москвы, Акт приема-передачи объекта нежилого фонда, находящегося в собственности города Москвы, казенному предприятию или государственному учреждению города Москвы на праве оперативного управления;</w:t>
            </w:r>
            <w:proofErr w:type="gramEnd"/>
            <w:r w:rsidRPr="001D5FA8">
              <w:rPr>
                <w:rFonts w:ascii="Times New Roman" w:hAnsi="Times New Roman" w:cs="Times New Roman"/>
                <w:sz w:val="24"/>
                <w:szCs w:val="24"/>
              </w:rPr>
              <w:t xml:space="preserve"> Акт приема-передачи объекта нежилого фонда, находящегося в собственности города Москвы, государственному унитарному </w:t>
            </w:r>
            <w:r w:rsidRPr="001D5FA8">
              <w:rPr>
                <w:rFonts w:ascii="Times New Roman" w:hAnsi="Times New Roman" w:cs="Times New Roman"/>
                <w:sz w:val="24"/>
                <w:szCs w:val="24"/>
              </w:rPr>
              <w:lastRenderedPageBreak/>
              <w:t>предприятию города Москвы на праве хозяйственного ведения</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Постановление Правительства РФ от 13.03.2008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Установлено, что:</w:t>
            </w:r>
          </w:p>
          <w:p w:rsidR="000B1D73" w:rsidRPr="001D5FA8" w:rsidRDefault="000B1D73"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работникам, занятым на работах с особо вредными условиями труда, бесплатная выдача лечебно-профилактического питания осуществляется в соответствии с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рационами лечебно-профилактического питания, правилами бесплатной выдачи лечебно-профилактического питания и нормами бесплатной выдачи витаминных препаратов;</w:t>
            </w:r>
            <w:proofErr w:type="gramEnd"/>
          </w:p>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работникам, занятым на работах с вредными условиями труда, бесплатная выдача молока или других равноценных пищевых продуктов осуществляется в соответствии с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нормами и условиями бесплатной выдачи молока или других равноценных пищевых продуктов.</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Классификации объектов основных средств, включаемых в амортизационные группы, утвержденная Постановлением Правительства РФ от 01.01.2002 № 1</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Классификацией определяются допустимые пределы срока полезного использования основных сре</w:t>
            </w:r>
            <w:proofErr w:type="gramStart"/>
            <w:r w:rsidRPr="001D5FA8">
              <w:rPr>
                <w:rFonts w:ascii="Times New Roman" w:hAnsi="Times New Roman" w:cs="Times New Roman"/>
                <w:sz w:val="24"/>
                <w:szCs w:val="24"/>
              </w:rPr>
              <w:t>дств в з</w:t>
            </w:r>
            <w:proofErr w:type="gramEnd"/>
            <w:r w:rsidRPr="001D5FA8">
              <w:rPr>
                <w:rFonts w:ascii="Times New Roman" w:hAnsi="Times New Roman" w:cs="Times New Roman"/>
                <w:sz w:val="24"/>
                <w:szCs w:val="24"/>
              </w:rPr>
              <w:t>ависимости от амортизационной группы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Распоряжение Правительства РФ от 07.04.2010 № 1058-р «О порядке передачи движимого имущества государственным учреждениям города Москвы»</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В целях сокращения документооборота в Департаменте имущества и упрощения процедуры передачи движимого имущества между государственными учреждениями города Москвы установлен порядок передачи вновь приобретенного (приобретаемого) движимого имущества в собственность города Москвы и в оперативное управление государственным учреждениям города Москвы, передачи движимого имущества, находящегося в собственности города Москвы и в оперативном управлении государственных учреждений города Москвы, в оперативное управление другим государственным учреждениям</w:t>
            </w:r>
            <w:proofErr w:type="gramEnd"/>
            <w:r w:rsidRPr="001D5FA8">
              <w:rPr>
                <w:rFonts w:ascii="Times New Roman" w:hAnsi="Times New Roman" w:cs="Times New Roman"/>
                <w:sz w:val="24"/>
                <w:szCs w:val="24"/>
              </w:rPr>
              <w:t xml:space="preserve"> города Москвы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Общероссийский классификатор основных </w:t>
            </w:r>
            <w:r w:rsidRPr="001D5FA8">
              <w:rPr>
                <w:rFonts w:ascii="Times New Roman" w:hAnsi="Times New Roman" w:cs="Times New Roman"/>
                <w:sz w:val="24"/>
                <w:szCs w:val="24"/>
              </w:rPr>
              <w:lastRenderedPageBreak/>
              <w:t>фондов (ОКОФ) ОК 013-94, утвержден Постановлением Госстандарта России от 26.12.1994 № 359.</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Применяется не в целях определения основного средства, а в целях группировки основных </w:t>
            </w:r>
            <w:r w:rsidRPr="001D5FA8">
              <w:rPr>
                <w:rFonts w:ascii="Times New Roman" w:hAnsi="Times New Roman" w:cs="Times New Roman"/>
                <w:sz w:val="24"/>
                <w:szCs w:val="24"/>
              </w:rPr>
              <w:lastRenderedPageBreak/>
              <w:t>сре</w:t>
            </w:r>
            <w:proofErr w:type="gramStart"/>
            <w:r w:rsidRPr="001D5FA8">
              <w:rPr>
                <w:rFonts w:ascii="Times New Roman" w:hAnsi="Times New Roman" w:cs="Times New Roman"/>
                <w:sz w:val="24"/>
                <w:szCs w:val="24"/>
              </w:rPr>
              <w:t>дств дл</w:t>
            </w:r>
            <w:proofErr w:type="gramEnd"/>
            <w:r w:rsidRPr="001D5FA8">
              <w:rPr>
                <w:rFonts w:ascii="Times New Roman" w:hAnsi="Times New Roman" w:cs="Times New Roman"/>
                <w:sz w:val="24"/>
                <w:szCs w:val="24"/>
              </w:rPr>
              <w:t>я распределения по соответствующим счетам учета.</w:t>
            </w:r>
          </w:p>
          <w:p w:rsidR="000B1D73" w:rsidRPr="001D5FA8" w:rsidRDefault="000B1D73" w:rsidP="001D5FA8">
            <w:pPr>
              <w:pStyle w:val="ConsPlusNormal"/>
              <w:spacing w:after="60"/>
              <w:ind w:firstLine="0"/>
              <w:rPr>
                <w:rFonts w:ascii="Times New Roman" w:hAnsi="Times New Roman" w:cs="Times New Roman"/>
                <w:sz w:val="24"/>
                <w:szCs w:val="24"/>
              </w:rPr>
            </w:pP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Постановление Правительства РФ от 16.04.2003 № 225 «О трудовых книжках»</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Установлены правила ведения и хранения трудовых книжек, изготовления бланков трудовой книжки и обеспечения ими работодателей, в том числе взимание с работника платы за трудовую книжку</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Об обязанности организаций вести учет драгоценных металлов во всех видах и состояниях, включая драгоценные металлы, входящие в состав покупных комплектующих деталей, изделий, приборов, инструментов, оборудования, вооружения, военной техники, материалов, полуфабрикатов (в том числе закупаемых за границей) и содержащиеся в ломе и отходах драгоценных металлов.</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Правительства РФ от 17.08.1998 №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 Перечень организаций, имеющих право осуществлять аффинаж драгоценных металлов. Утвержденный Порядок распространяется на организации, осуществляющие аффинаж драгоценных металлов, независимо от организационно-правовой формы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Минтруда России от 29.12.1997 № 68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Утверждены Типовые отраслевые нормы бесплатной выдачи специальной одежды, специальной обуви и других средств индивидуальной защиты работникам, в том числе производств медикаментов, медицинских и биологических препаратов и материалов согласно Приложению № 9; организаций здравоохранения и социальной защиты населения, медицинских научно-исследовательских организаций и учебных заведений, производств бактерийных и биологических препаратов, материалов, учебных наглядных пособий, по заготовке, выращиванию и обработке медицинских пиявок согласно Приложению № 11</w:t>
            </w:r>
          </w:p>
        </w:tc>
      </w:tr>
      <w:tr w:rsidR="00934C2F" w:rsidRPr="001D5FA8" w:rsidTr="001D5FA8">
        <w:tc>
          <w:tcPr>
            <w:tcW w:w="4962" w:type="dxa"/>
            <w:shd w:val="clear" w:color="auto" w:fill="FFFFFF" w:themeFill="background1"/>
          </w:tcPr>
          <w:p w:rsidR="00934C2F" w:rsidRPr="001D5FA8" w:rsidRDefault="00934C2F"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Минздрава СССР от 29.01.1988 № 65 «О введении Отраслевых норм бесплатной выдачи спецодежды, </w:t>
            </w:r>
            <w:proofErr w:type="spellStart"/>
            <w:r w:rsidRPr="001D5FA8">
              <w:rPr>
                <w:rFonts w:ascii="Times New Roman" w:hAnsi="Times New Roman" w:cs="Times New Roman"/>
                <w:sz w:val="24"/>
                <w:szCs w:val="24"/>
              </w:rPr>
              <w:t>спецобуви</w:t>
            </w:r>
            <w:proofErr w:type="spellEnd"/>
            <w:r w:rsidRPr="001D5FA8">
              <w:rPr>
                <w:rFonts w:ascii="Times New Roman" w:hAnsi="Times New Roman" w:cs="Times New Roman"/>
                <w:sz w:val="24"/>
                <w:szCs w:val="24"/>
              </w:rPr>
              <w:t xml:space="preserve"> и других </w:t>
            </w:r>
            <w:r w:rsidRPr="001D5FA8">
              <w:rPr>
                <w:rFonts w:ascii="Times New Roman" w:hAnsi="Times New Roman" w:cs="Times New Roman"/>
                <w:sz w:val="24"/>
                <w:szCs w:val="24"/>
              </w:rPr>
              <w:lastRenderedPageBreak/>
              <w:t>средств индивидуальной защиты, а также норм санитарной одежды и санитарной обуви»</w:t>
            </w:r>
          </w:p>
        </w:tc>
        <w:tc>
          <w:tcPr>
            <w:tcW w:w="9639" w:type="dxa"/>
            <w:shd w:val="clear" w:color="auto" w:fill="FFFFFF" w:themeFill="background1"/>
          </w:tcPr>
          <w:p w:rsidR="00934C2F" w:rsidRPr="001D5FA8" w:rsidRDefault="00934C2F"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lastRenderedPageBreak/>
              <w:t xml:space="preserve">Утверждены  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согласованные с ЦК профсоюза медицинских работников,  </w:t>
            </w:r>
            <w:r w:rsidRPr="001D5FA8">
              <w:rPr>
                <w:rFonts w:ascii="Times New Roman" w:hAnsi="Times New Roman" w:cs="Times New Roman"/>
                <w:sz w:val="24"/>
                <w:szCs w:val="24"/>
              </w:rPr>
              <w:lastRenderedPageBreak/>
              <w:t>Методические рекомендации по организации обеспечения, хранения и эксплуатации специальной одежды, специальной обуви и других средств индивидуальной защиты в учреждениях, предприятиях и организациях здравоохранения, согласованные с ЦК профсоюза медицинских работников.</w:t>
            </w:r>
            <w:proofErr w:type="gramEnd"/>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Приказ Минфина РФ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Инструкция устанавливает порядок учета и хранения драгоценных металлов, драгоценных камней и продукции из них, а также ведения отчетности при их производстве, использовании и обращении</w:t>
            </w:r>
          </w:p>
        </w:tc>
      </w:tr>
      <w:tr w:rsidR="003F0265" w:rsidRPr="001D5FA8" w:rsidTr="001D5FA8">
        <w:tc>
          <w:tcPr>
            <w:tcW w:w="4962" w:type="dxa"/>
            <w:shd w:val="clear" w:color="auto" w:fill="FFFFFF" w:themeFill="background1"/>
          </w:tcPr>
          <w:p w:rsidR="003F0265" w:rsidRPr="001D5FA8" w:rsidRDefault="003F0265"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Приказ Минздрава России от 17.06.2013 №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roofErr w:type="gramEnd"/>
          </w:p>
        </w:tc>
        <w:tc>
          <w:tcPr>
            <w:tcW w:w="9639" w:type="dxa"/>
            <w:shd w:val="clear" w:color="auto" w:fill="FFFFFF" w:themeFill="background1"/>
          </w:tcPr>
          <w:p w:rsidR="003F0265" w:rsidRPr="001D5FA8" w:rsidRDefault="003F0265"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Утверждены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правила ведения и хранения специальных журналов учета операций, связанных с обращением лекарственных средств для медицинского применения.</w:t>
            </w:r>
            <w:proofErr w:type="gramEnd"/>
          </w:p>
        </w:tc>
      </w:tr>
      <w:tr w:rsidR="00400E1C" w:rsidRPr="001D5FA8" w:rsidTr="001D5FA8">
        <w:tc>
          <w:tcPr>
            <w:tcW w:w="4962" w:type="dxa"/>
            <w:shd w:val="clear" w:color="auto" w:fill="FFFFFF" w:themeFill="background1"/>
          </w:tcPr>
          <w:p w:rsidR="00400E1C" w:rsidRPr="001D5FA8" w:rsidRDefault="00400E1C" w:rsidP="00400E1C">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Минздрава СССР от 15.09.</w:t>
            </w:r>
            <w:r>
              <w:rPr>
                <w:rFonts w:ascii="Times New Roman" w:hAnsi="Times New Roman" w:cs="Times New Roman"/>
                <w:sz w:val="24"/>
                <w:szCs w:val="24"/>
              </w:rPr>
              <w:t>1987</w:t>
            </w:r>
            <w:r w:rsidRPr="001D5FA8">
              <w:rPr>
                <w:rFonts w:ascii="Times New Roman" w:hAnsi="Times New Roman" w:cs="Times New Roman"/>
                <w:sz w:val="24"/>
                <w:szCs w:val="24"/>
              </w:rPr>
              <w:t xml:space="preserve"> № </w:t>
            </w:r>
            <w:r>
              <w:rPr>
                <w:rFonts w:ascii="Times New Roman" w:hAnsi="Times New Roman" w:cs="Times New Roman"/>
                <w:sz w:val="24"/>
                <w:szCs w:val="24"/>
              </w:rPr>
              <w:t>1035</w:t>
            </w:r>
            <w:r w:rsidRPr="001D5FA8">
              <w:rPr>
                <w:rFonts w:ascii="Times New Roman" w:hAnsi="Times New Roman" w:cs="Times New Roman"/>
                <w:sz w:val="24"/>
                <w:szCs w:val="24"/>
              </w:rPr>
              <w:t xml:space="preserve"> «Об утверждении </w:t>
            </w:r>
            <w:r>
              <w:rPr>
                <w:rFonts w:ascii="Times New Roman" w:hAnsi="Times New Roman" w:cs="Times New Roman"/>
                <w:sz w:val="24"/>
                <w:szCs w:val="24"/>
              </w:rPr>
              <w:t xml:space="preserve">«Инструкции по учету крови при ее заготовке и переработке в учреждениях и организациях </w:t>
            </w:r>
            <w:r>
              <w:rPr>
                <w:rFonts w:ascii="Times New Roman" w:hAnsi="Times New Roman" w:cs="Times New Roman"/>
                <w:sz w:val="24"/>
                <w:szCs w:val="24"/>
              </w:rPr>
              <w:lastRenderedPageBreak/>
              <w:t>здравоохранения</w:t>
            </w:r>
            <w:r w:rsidRPr="001D5FA8">
              <w:rPr>
                <w:rFonts w:ascii="Times New Roman" w:hAnsi="Times New Roman" w:cs="Times New Roman"/>
                <w:sz w:val="24"/>
                <w:szCs w:val="24"/>
              </w:rPr>
              <w:t>»</w:t>
            </w:r>
          </w:p>
        </w:tc>
        <w:tc>
          <w:tcPr>
            <w:tcW w:w="9639" w:type="dxa"/>
            <w:shd w:val="clear" w:color="auto" w:fill="FFFFFF" w:themeFill="background1"/>
          </w:tcPr>
          <w:p w:rsidR="00400E1C" w:rsidRPr="001D5FA8" w:rsidRDefault="00400E1C" w:rsidP="001D5FA8">
            <w:pPr>
              <w:pStyle w:val="ConsPlusNormal"/>
              <w:spacing w:after="60"/>
              <w:ind w:firstLine="0"/>
              <w:rPr>
                <w:rFonts w:ascii="Times New Roman" w:hAnsi="Times New Roman" w:cs="Times New Roman"/>
                <w:sz w:val="24"/>
                <w:szCs w:val="24"/>
              </w:rPr>
            </w:pPr>
            <w:r>
              <w:rPr>
                <w:rFonts w:ascii="Times New Roman" w:hAnsi="Times New Roman" w:cs="Times New Roman"/>
                <w:sz w:val="24"/>
                <w:szCs w:val="24"/>
              </w:rPr>
              <w:lastRenderedPageBreak/>
              <w:t>Инструкция по учету крови при ее заготовке и переработке в учреждениях и организациях здравоохранения</w:t>
            </w:r>
            <w:bookmarkStart w:id="1" w:name="_GoBack"/>
            <w:bookmarkEnd w:id="1"/>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Приказ Минздрава России от 22.04.2014 № 183н «Об утверждении перечня лекарственных сре</w:t>
            </w:r>
            <w:proofErr w:type="gramStart"/>
            <w:r w:rsidRPr="001D5FA8">
              <w:rPr>
                <w:rFonts w:ascii="Times New Roman" w:hAnsi="Times New Roman" w:cs="Times New Roman"/>
                <w:sz w:val="24"/>
                <w:szCs w:val="24"/>
              </w:rPr>
              <w:t>дств дл</w:t>
            </w:r>
            <w:proofErr w:type="gramEnd"/>
            <w:r w:rsidRPr="001D5FA8">
              <w:rPr>
                <w:rFonts w:ascii="Times New Roman" w:hAnsi="Times New Roman" w:cs="Times New Roman"/>
                <w:sz w:val="24"/>
                <w:szCs w:val="24"/>
              </w:rPr>
              <w:t>я медицинского применения, подлежащих предметно-количественному учету»</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 перечень лекарственных сре</w:t>
            </w:r>
            <w:proofErr w:type="gramStart"/>
            <w:r w:rsidRPr="001D5FA8">
              <w:rPr>
                <w:rFonts w:ascii="Times New Roman" w:hAnsi="Times New Roman" w:cs="Times New Roman"/>
                <w:sz w:val="24"/>
                <w:szCs w:val="24"/>
              </w:rPr>
              <w:t>дств дл</w:t>
            </w:r>
            <w:proofErr w:type="gramEnd"/>
            <w:r w:rsidRPr="001D5FA8">
              <w:rPr>
                <w:rFonts w:ascii="Times New Roman" w:hAnsi="Times New Roman" w:cs="Times New Roman"/>
                <w:sz w:val="24"/>
                <w:szCs w:val="24"/>
              </w:rPr>
              <w:t>я медицинского применения, подлежащих предметно-количественному учету</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w:t>
            </w:r>
            <w:proofErr w:type="spellStart"/>
            <w:r w:rsidRPr="001D5FA8">
              <w:rPr>
                <w:rFonts w:ascii="Times New Roman" w:hAnsi="Times New Roman" w:cs="Times New Roman"/>
                <w:sz w:val="24"/>
                <w:szCs w:val="24"/>
              </w:rPr>
              <w:t>Минздравсоцразвития</w:t>
            </w:r>
            <w:proofErr w:type="spellEnd"/>
            <w:r w:rsidRPr="001D5FA8">
              <w:rPr>
                <w:rFonts w:ascii="Times New Roman" w:hAnsi="Times New Roman" w:cs="Times New Roman"/>
                <w:sz w:val="24"/>
                <w:szCs w:val="24"/>
              </w:rPr>
              <w:t xml:space="preserve"> РФ от 01.09.2010 №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Утверждены Типовые нормы бесплатной выдачи специальной одежды, специальной обуви и других средств индивидуальной </w:t>
            </w:r>
            <w:proofErr w:type="gramStart"/>
            <w:r w:rsidRPr="001D5FA8">
              <w:rPr>
                <w:rFonts w:ascii="Times New Roman" w:hAnsi="Times New Roman" w:cs="Times New Roman"/>
                <w:sz w:val="24"/>
                <w:szCs w:val="24"/>
              </w:rPr>
              <w:t>защиты</w:t>
            </w:r>
            <w:proofErr w:type="gramEnd"/>
            <w:r w:rsidRPr="001D5FA8">
              <w:rPr>
                <w:rFonts w:ascii="Times New Roman" w:hAnsi="Times New Roman" w:cs="Times New Roman"/>
                <w:sz w:val="24"/>
                <w:szCs w:val="24"/>
              </w:rPr>
              <w:t xml:space="preserve"> в том числе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w:t>
            </w:r>
            <w:proofErr w:type="spellStart"/>
            <w:r w:rsidRPr="001D5FA8">
              <w:rPr>
                <w:rFonts w:ascii="Times New Roman" w:hAnsi="Times New Roman" w:cs="Times New Roman"/>
                <w:sz w:val="24"/>
                <w:szCs w:val="24"/>
              </w:rPr>
              <w:t>Минздравсоцразвития</w:t>
            </w:r>
            <w:proofErr w:type="spellEnd"/>
            <w:r w:rsidRPr="001D5FA8">
              <w:rPr>
                <w:rFonts w:ascii="Times New Roman" w:hAnsi="Times New Roman" w:cs="Times New Roman"/>
                <w:sz w:val="24"/>
                <w:szCs w:val="24"/>
              </w:rPr>
              <w:t xml:space="preserve"> РФ от 01.06.2009 № 290н.</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Утверждение межотраслевых правил обеспечения работников специальной одеждой, специальной обувью и другими средствами индивидуальной защиты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Минздрава СССР от 15.09.1988 № 710 «Об утверждении Табелей оснащения мягким инвентарем больниц, диспансеров, родильных домов, медико-санитарных частей, поликлиник, амбулаторий»</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В приложении представлен табель оснащения мягким инвентарем больниц, диспансеров, родильных домов, медико-санитарных частей, табель мягким инвентарем поликлиник, амбулаторий, амбулаторно-поликлинических подразделений больничных учреждений, медико-санитарных частей и табель оснащения мягким инвентарем женских консультаций</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Минздрава СССР от 02.06.1987 № 747 «Об утверждении "Инструкции по учету медикаментов, перевязочных средств и изделий медицинского назначения в лечебно-профилактических учреждениях </w:t>
            </w:r>
            <w:r w:rsidRPr="001D5FA8">
              <w:rPr>
                <w:rFonts w:ascii="Times New Roman" w:hAnsi="Times New Roman" w:cs="Times New Roman"/>
                <w:sz w:val="24"/>
                <w:szCs w:val="24"/>
              </w:rPr>
              <w:lastRenderedPageBreak/>
              <w:t>здравоохранения, состоящих на Государственном бюджете СССР»</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Инструкция содержит информацию о том, как учитывать лекарственные средства в учреждениях, имеющих аптеку, также учет в учреждениях, не имеющих аптек, учет лекарственных сре</w:t>
            </w:r>
            <w:proofErr w:type="gramStart"/>
            <w:r w:rsidRPr="001D5FA8">
              <w:rPr>
                <w:rFonts w:ascii="Times New Roman" w:hAnsi="Times New Roman" w:cs="Times New Roman"/>
                <w:sz w:val="24"/>
                <w:szCs w:val="24"/>
              </w:rPr>
              <w:t>дств в б</w:t>
            </w:r>
            <w:proofErr w:type="gramEnd"/>
            <w:r w:rsidRPr="001D5FA8">
              <w:rPr>
                <w:rFonts w:ascii="Times New Roman" w:hAnsi="Times New Roman" w:cs="Times New Roman"/>
                <w:sz w:val="24"/>
                <w:szCs w:val="24"/>
              </w:rPr>
              <w:t xml:space="preserve">ухгалтерии учреждения. В документах присутствуют следующие формы: учета ядовитых лекарственных средств в отделениях и кабинетах лечебно-профилактических учреждений, ведомость выборки израсходованных </w:t>
            </w:r>
            <w:r w:rsidRPr="001D5FA8">
              <w:rPr>
                <w:rFonts w:ascii="Times New Roman" w:hAnsi="Times New Roman" w:cs="Times New Roman"/>
                <w:sz w:val="24"/>
                <w:szCs w:val="24"/>
              </w:rPr>
              <w:lastRenderedPageBreak/>
              <w:t>лекарственных средств, подлежащих предметно-количественному учету, отчет о движении лекарственных средств, подлежащих предметно-количественному учету, книга регистрации счетов, поступивших в аптеку.</w:t>
            </w:r>
          </w:p>
        </w:tc>
      </w:tr>
      <w:tr w:rsidR="0052189E" w:rsidRPr="001D5FA8" w:rsidTr="001D5FA8">
        <w:tc>
          <w:tcPr>
            <w:tcW w:w="4962" w:type="dxa"/>
            <w:shd w:val="clear" w:color="auto" w:fill="FFFFFF" w:themeFill="background1"/>
          </w:tcPr>
          <w:p w:rsidR="0052189E" w:rsidRPr="0052189E" w:rsidRDefault="0052189E" w:rsidP="001D5FA8">
            <w:pPr>
              <w:pStyle w:val="ConsPlusNormal"/>
              <w:spacing w:after="60"/>
              <w:ind w:firstLine="0"/>
              <w:rPr>
                <w:rFonts w:ascii="Times New Roman" w:hAnsi="Times New Roman" w:cs="Times New Roman"/>
                <w:sz w:val="24"/>
                <w:szCs w:val="24"/>
              </w:rPr>
            </w:pPr>
            <w:r>
              <w:rPr>
                <w:rFonts w:ascii="Times New Roman" w:hAnsi="Times New Roman" w:cs="Times New Roman"/>
                <w:sz w:val="24"/>
                <w:szCs w:val="24"/>
              </w:rPr>
              <w:lastRenderedPageBreak/>
              <w:t>Приказ Минздрава СССР от 05.05.1983 г. № 530 «Об утверждении инструкции по учету продуктов питания в лечебно-профилактических и других учреждениях, состоящих на Государственном бюджете СССР»</w:t>
            </w:r>
          </w:p>
        </w:tc>
        <w:tc>
          <w:tcPr>
            <w:tcW w:w="9639" w:type="dxa"/>
            <w:shd w:val="clear" w:color="auto" w:fill="FFFFFF" w:themeFill="background1"/>
          </w:tcPr>
          <w:p w:rsidR="0052189E" w:rsidRPr="001D5FA8" w:rsidRDefault="0052189E" w:rsidP="001D5FA8">
            <w:pPr>
              <w:pStyle w:val="ConsPlusNormal"/>
              <w:spacing w:after="60"/>
              <w:ind w:firstLine="0"/>
              <w:rPr>
                <w:rFonts w:ascii="Times New Roman" w:hAnsi="Times New Roman" w:cs="Times New Roman"/>
                <w:sz w:val="24"/>
                <w:szCs w:val="24"/>
              </w:rPr>
            </w:pPr>
            <w:r>
              <w:rPr>
                <w:rFonts w:ascii="Times New Roman" w:hAnsi="Times New Roman" w:cs="Times New Roman"/>
                <w:sz w:val="24"/>
                <w:szCs w:val="24"/>
              </w:rPr>
              <w:t>Инструкция содержит информацию по учету продуктов питания в ЛПУ.</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Министерства Здравоохранения СССР от 29.02.1984 № 222 «Об утверждении инструкции по учету белья, постельных принадлежностей, одежды и обуви в лечебно-профилактических и других учреждениях здравоохранения, состоящих на государственном бюджете СССР»</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Инструкцию по учету белья, постельных принадлежностей, одежды и обуви в лечебно - профилактических и других учреждениях здравоохранения, состоящих на государственном бюджете СССР. </w:t>
            </w:r>
            <w:proofErr w:type="gramStart"/>
            <w:r w:rsidRPr="001D5FA8">
              <w:rPr>
                <w:rFonts w:ascii="Times New Roman" w:hAnsi="Times New Roman" w:cs="Times New Roman"/>
                <w:sz w:val="24"/>
                <w:szCs w:val="24"/>
              </w:rPr>
              <w:t>В приложении приказа представлены общие положения инструкции, учет белья на центральном и бельевых складах, учет белья в отделениях, учет белья, находящегося в стирке, дезинфекции и ремонте, списание белья пришедшего в ветхость и негодность, учет белья в централизованной бухгалтерии и бухгалтерии учреждения, инвентаризация белья в учреждениях, перечень специализированных форм первичного учета белья (форма № 3МЗ), примерная номенклатура предметов белья, типовой договор о</w:t>
            </w:r>
            <w:proofErr w:type="gramEnd"/>
            <w:r w:rsidRPr="001D5FA8">
              <w:rPr>
                <w:rFonts w:ascii="Times New Roman" w:hAnsi="Times New Roman" w:cs="Times New Roman"/>
                <w:sz w:val="24"/>
                <w:szCs w:val="24"/>
              </w:rPr>
              <w:t xml:space="preserve"> полной индивидуальной материальной ответственности, расписка.</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Минздрава СССР от 03.07.1968 № 523 «О порядке хранения, учета, прописывания, отпуска и применения ядовитых, наркотических и сильнодействующих лекарственных средств»</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Утверждены: </w:t>
            </w:r>
            <w:proofErr w:type="gramStart"/>
            <w:r w:rsidRPr="001D5FA8">
              <w:rPr>
                <w:rFonts w:ascii="Times New Roman" w:hAnsi="Times New Roman" w:cs="Times New Roman"/>
                <w:sz w:val="24"/>
                <w:szCs w:val="24"/>
              </w:rPr>
              <w:t xml:space="preserve">"Правила прописывания ядовитых, наркотических и сильнодействующих лекарственных средств", "Правила хранения и учета ядовитых, наркотических и сильнодействующих лекарственных средств в лечебно-профилактических учреждениях", "Правила хранения, учета и отпуска ядовитых, наркотических и сильнодействующих лекарственных средств в хозрасчетных аптеках", "Правил хранения, учета и отпуска ядовитых, наркотических и сильнодействующих лекарственных средств и бланков на наркотические средства в аптечных складах", "Правил хранения и учета ядовитых, </w:t>
            </w:r>
            <w:proofErr w:type="spellStart"/>
            <w:r w:rsidRPr="001D5FA8">
              <w:rPr>
                <w:rFonts w:ascii="Times New Roman" w:hAnsi="Times New Roman" w:cs="Times New Roman"/>
                <w:sz w:val="24"/>
                <w:szCs w:val="24"/>
              </w:rPr>
              <w:t>наркотическихи</w:t>
            </w:r>
            <w:proofErr w:type="spellEnd"/>
            <w:proofErr w:type="gramEnd"/>
            <w:r w:rsidRPr="001D5FA8">
              <w:rPr>
                <w:rFonts w:ascii="Times New Roman" w:hAnsi="Times New Roman" w:cs="Times New Roman"/>
                <w:sz w:val="24"/>
                <w:szCs w:val="24"/>
              </w:rPr>
              <w:t xml:space="preserve"> </w:t>
            </w:r>
            <w:proofErr w:type="gramStart"/>
            <w:r w:rsidRPr="001D5FA8">
              <w:rPr>
                <w:rFonts w:ascii="Times New Roman" w:hAnsi="Times New Roman" w:cs="Times New Roman"/>
                <w:sz w:val="24"/>
                <w:szCs w:val="24"/>
              </w:rPr>
              <w:t xml:space="preserve">сильнодействующих средств в контрольно-аналитических лабораториях аптечных управлений", "Правил хранения, учета и отпуска ядовитых, наркотических и сильнодействующих лекарственных средств на фармацевтических производственных предприятиях", "Правила хранения и учета ядовитых, наркотических и </w:t>
            </w:r>
            <w:r w:rsidRPr="001D5FA8">
              <w:rPr>
                <w:rFonts w:ascii="Times New Roman" w:hAnsi="Times New Roman" w:cs="Times New Roman"/>
                <w:sz w:val="24"/>
                <w:szCs w:val="24"/>
              </w:rPr>
              <w:lastRenderedPageBreak/>
              <w:t>сильнодействующих средств в научно-исследовательских институтах, лабораториях и учебных заведениях системы здравоохранения"; "Временные правила уничтожения сильнодействующих ядовитых веществ, пришедших в негодность, и меры личной и общественной безопасности"</w:t>
            </w:r>
            <w:proofErr w:type="gramEnd"/>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Приказ Главного управления здравоохранения Москвы от 28 декабря 1987 г. № 792 «О бесплатном проезде отдельных категории медицинских работников»</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с 1 января 1988 года для участковых врачей - терапевтов и педиатров, участковых медицинских сестер </w:t>
            </w:r>
            <w:proofErr w:type="spellStart"/>
            <w:r w:rsidRPr="001D5FA8">
              <w:rPr>
                <w:rFonts w:ascii="Times New Roman" w:hAnsi="Times New Roman" w:cs="Times New Roman"/>
                <w:sz w:val="24"/>
                <w:szCs w:val="24"/>
              </w:rPr>
              <w:t>амбулаторно</w:t>
            </w:r>
            <w:proofErr w:type="spellEnd"/>
            <w:r w:rsidRPr="001D5FA8">
              <w:rPr>
                <w:rFonts w:ascii="Times New Roman" w:hAnsi="Times New Roman" w:cs="Times New Roman"/>
                <w:sz w:val="24"/>
                <w:szCs w:val="24"/>
              </w:rPr>
              <w:t xml:space="preserve"> - поликлинических учреждений города Москвы, непосредственно оказывающих медицинскую помощь на дому взрослому и детскому населению, введен бесплатный проезд на городском транспорте. Разрешено приобретать этой категории работников единые проездные билеты или месячные билеты на отдельные виды транспорта с последующей оплатой при выдаче заработной платы.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Минтранса России от 18.09.2008 № 152 «Об утверждении обязательных реквизитов и порядка заполнения путевых листов»</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О применении обязательных реквизитов и порядка заполнения путевых листов юридическими лицами и индивидуальными предпринимателями, эксплуатирующие легковые автомобили, грузовые автомобили, автобусы, троллейбусы и трамваи</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Письмо Минтранса РФ от 21.03.2006 № 4050/208 «О нормах расхода топлива»</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Государственный научно-исследовательский институт автомобильного транспорта (НИИАТ) разработал нормы расхода топлива на автомобили по представленным техническим характеристикам.</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Распоряжение Минтранса России от 14.03.2008 № АМ-23-р</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О введении в действие Методических рекомендаций «Нормы расхода топлив и смазочных материалов на автомобильном транспорте», предназначенные для автотранспортных предприятий, организаций, занятых в системе управления и контроля, предпринимателей и др., независимо от форм собственности, эксплуатирующих автомобильную технику и специальный подвижной состав на шасси автомобилей на территории Российской Федерации</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Временные нормы эксплуатационного пробега шин автотранспортных средств РД 3112199-1085-02, утвержденные Минтрансом России от 04.04.2002 </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В настоящем Руководящем документе приведены нормативно-технические материалы, устанавливающие нормы эксплуатационного пробега шин, предназначенных для использования на легковых, грузовых автомобилях, автобусах и троллейбусах, прицепах и полуприцепах (категорий M1, M2, M3, N1, N2, N3, O1, O2 и O3).</w:t>
            </w:r>
          </w:p>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Документ предназначен для работников автотранспортных предприятий и других </w:t>
            </w:r>
            <w:r w:rsidRPr="001D5FA8">
              <w:rPr>
                <w:rFonts w:ascii="Times New Roman" w:hAnsi="Times New Roman" w:cs="Times New Roman"/>
                <w:sz w:val="24"/>
                <w:szCs w:val="24"/>
              </w:rPr>
              <w:lastRenderedPageBreak/>
              <w:t>организаций, эксплуатирующих автотранспортные средства на территории Российской Федерации в целях планирования потребности в шинах, проведения финансовых расчетов, определения уровня тарифов и обеспечения расчетов по налогообложению предприятий</w:t>
            </w:r>
          </w:p>
        </w:tc>
      </w:tr>
      <w:tr w:rsidR="000B1D73" w:rsidRPr="001D5FA8" w:rsidTr="001D5FA8">
        <w:tc>
          <w:tcPr>
            <w:tcW w:w="4962" w:type="dxa"/>
            <w:shd w:val="clear" w:color="auto" w:fill="FFFFFF" w:themeFill="background1"/>
          </w:tcPr>
          <w:p w:rsidR="000B1D73" w:rsidRPr="001D5FA8" w:rsidRDefault="00D6063E"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Письмо</w:t>
            </w:r>
            <w:r w:rsidR="000B1D73" w:rsidRPr="001D5FA8">
              <w:rPr>
                <w:rFonts w:ascii="Times New Roman" w:hAnsi="Times New Roman" w:cs="Times New Roman"/>
                <w:sz w:val="24"/>
                <w:szCs w:val="24"/>
              </w:rPr>
              <w:t xml:space="preserve"> Минфина России от 17.01.2013 № 02-06-07/111 «О порядке ведения бухгалтерского учета нефинансовых активов, приобретенных государственными (муниципальными) учреждениями в рамках деятельности в сфере обязательного медицинского страхования»</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О порядке ведения бухгалтерского учета нефинансовых активов, приобретенных государственными (муниципальными) бюджетными, автономными учреждениями (далее - учреждения) в рамках деятельности в сфере обязательного медицинского страхования по группе аналитического учета 20 "Особо ценное движимое имущество", а также о формировании показателей по счету 721006000 "Расчеты с учредителем"</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Письмо Минфина России от 18.09.2012 № 02-06-07/3798 «Об отражении в бухгалтерском учете и бухгалтерской отчетности бюджетных, автономных учреждений, а также в бюджетном учете и бюджетной отчетности органов, осуществляющих функции и полномочия учредителя учреждения, операций с недвижимым имуществом, в отношении которого учреждение не имеет права самостоятельного распоряжения, и особо ценным движимым имуществом»</w:t>
            </w:r>
            <w:proofErr w:type="gramEnd"/>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Министерство финансов Российской Федерации разъясняет вопросы об отражении в бухгалтерском учете и бухгалтерской отчетности бюджетных, автономных учреждений, а также в бюджетном учете и бюджетной отчетности органов, осуществляющих функции и полномочия учредителя учреждения, операций с недвижимым имуществом, в отношении которого учреждение не имеет права самостоятельного распоряжения, и особо ценным движимым имуществом</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руководителя ДИГМ от 08.09.2011 № 504-п «Об отдельных вопросах осуществления Департаментом имущества города Москвы возложенных на него полномочий по распоряжению имуществом»</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Регулирует порядок </w:t>
            </w:r>
            <w:proofErr w:type="gramStart"/>
            <w:r w:rsidRPr="001D5FA8">
              <w:rPr>
                <w:rFonts w:ascii="Times New Roman" w:hAnsi="Times New Roman" w:cs="Times New Roman"/>
                <w:sz w:val="24"/>
                <w:szCs w:val="24"/>
              </w:rPr>
              <w:t>взаимодействия структурных подразделений Департамента имущества города</w:t>
            </w:r>
            <w:proofErr w:type="gramEnd"/>
            <w:r w:rsidRPr="001D5FA8">
              <w:rPr>
                <w:rFonts w:ascii="Times New Roman" w:hAnsi="Times New Roman" w:cs="Times New Roman"/>
                <w:sz w:val="24"/>
                <w:szCs w:val="24"/>
              </w:rPr>
              <w:t xml:space="preserve"> Москвы, государственных учреждений и унитарных предприятий города Москвы, иных юридических и физических лиц при осуществлении Департаментом возложенных на него отдельных полномочий в сфере распоряжения имуществом города Москвы</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Приказ Департамента здравоохранения города Москвы от 16.07.2012 № 709 «Об усилении </w:t>
            </w:r>
            <w:proofErr w:type="gramStart"/>
            <w:r w:rsidRPr="001D5FA8">
              <w:rPr>
                <w:rFonts w:ascii="Times New Roman" w:hAnsi="Times New Roman" w:cs="Times New Roman"/>
                <w:sz w:val="24"/>
                <w:szCs w:val="24"/>
              </w:rPr>
              <w:t>контроля за</w:t>
            </w:r>
            <w:proofErr w:type="gramEnd"/>
            <w:r w:rsidRPr="001D5FA8">
              <w:rPr>
                <w:rFonts w:ascii="Times New Roman" w:hAnsi="Times New Roman" w:cs="Times New Roman"/>
                <w:sz w:val="24"/>
                <w:szCs w:val="24"/>
              </w:rPr>
              <w:t xml:space="preserve"> использованием </w:t>
            </w:r>
            <w:r w:rsidRPr="001D5FA8">
              <w:rPr>
                <w:rFonts w:ascii="Times New Roman" w:hAnsi="Times New Roman" w:cs="Times New Roman"/>
                <w:sz w:val="24"/>
                <w:szCs w:val="24"/>
              </w:rPr>
              <w:lastRenderedPageBreak/>
              <w:t>недвижимого имущества, закрепленного на праве оперативного управления или хозяйственного ведения за учреждениями и предприятиями Департамента здравоохранения города Москвы»</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Утверждены: Положение о порядке согласования Департаментом здравоохранения города Москвы передачи сторонним организациям прав владения и (или) пользования недвижимым имуществом, закрепленным за государственными учреждениями </w:t>
            </w:r>
            <w:r w:rsidRPr="001D5FA8">
              <w:rPr>
                <w:rFonts w:ascii="Times New Roman" w:hAnsi="Times New Roman" w:cs="Times New Roman"/>
                <w:sz w:val="24"/>
                <w:szCs w:val="24"/>
              </w:rPr>
              <w:lastRenderedPageBreak/>
              <w:t xml:space="preserve">здравоохранения и государственными унитарными предприятиями (казенными предприятиями) на праве оперативного управления или хозяйственного ведения. Состав Комиссии по </w:t>
            </w:r>
            <w:proofErr w:type="gramStart"/>
            <w:r w:rsidRPr="001D5FA8">
              <w:rPr>
                <w:rFonts w:ascii="Times New Roman" w:hAnsi="Times New Roman" w:cs="Times New Roman"/>
                <w:sz w:val="24"/>
                <w:szCs w:val="24"/>
              </w:rPr>
              <w:t>контролю за</w:t>
            </w:r>
            <w:proofErr w:type="gramEnd"/>
            <w:r w:rsidRPr="001D5FA8">
              <w:rPr>
                <w:rFonts w:ascii="Times New Roman" w:hAnsi="Times New Roman" w:cs="Times New Roman"/>
                <w:sz w:val="24"/>
                <w:szCs w:val="24"/>
              </w:rPr>
              <w:t xml:space="preserve"> использованием недвижимого имущества государственных учреждений здравоохранения и государственных унитарных предприятий (казенных предприятий). Положение о Комиссии по </w:t>
            </w:r>
            <w:proofErr w:type="gramStart"/>
            <w:r w:rsidRPr="001D5FA8">
              <w:rPr>
                <w:rFonts w:ascii="Times New Roman" w:hAnsi="Times New Roman" w:cs="Times New Roman"/>
                <w:sz w:val="24"/>
                <w:szCs w:val="24"/>
              </w:rPr>
              <w:t>контролю за</w:t>
            </w:r>
            <w:proofErr w:type="gramEnd"/>
            <w:r w:rsidRPr="001D5FA8">
              <w:rPr>
                <w:rFonts w:ascii="Times New Roman" w:hAnsi="Times New Roman" w:cs="Times New Roman"/>
                <w:sz w:val="24"/>
                <w:szCs w:val="24"/>
              </w:rPr>
              <w:t xml:space="preserve"> использованием недвижимого имущества государственных учреждений здравоохранения и государственных унитарных предприятий (казенных предприятий).</w:t>
            </w:r>
          </w:p>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А также установлен запрет на заключение договоров аренды, договоров безвозмездного пользования и иных договоров, предусматривающих переход прав владения и (или) пользования недвижимым имуществом, без согласования </w:t>
            </w:r>
            <w:proofErr w:type="gramStart"/>
            <w:r w:rsidRPr="001D5FA8">
              <w:rPr>
                <w:rFonts w:ascii="Times New Roman" w:hAnsi="Times New Roman" w:cs="Times New Roman"/>
                <w:sz w:val="24"/>
                <w:szCs w:val="24"/>
              </w:rPr>
              <w:t>комиссии Департамента здравоохранения города Москвы</w:t>
            </w:r>
            <w:proofErr w:type="gramEnd"/>
            <w:r w:rsidRPr="001D5FA8">
              <w:rPr>
                <w:rFonts w:ascii="Times New Roman" w:hAnsi="Times New Roman" w:cs="Times New Roman"/>
                <w:sz w:val="24"/>
                <w:szCs w:val="24"/>
              </w:rPr>
              <w:t xml:space="preserve"> по контролю за использованием недвижимого имущества государственных учреждений здравоохранения и государственных унитарных предприятий (казенных предприятий).</w:t>
            </w:r>
          </w:p>
        </w:tc>
      </w:tr>
      <w:tr w:rsidR="000B1D73" w:rsidRPr="001D5FA8" w:rsidTr="001D5FA8">
        <w:tc>
          <w:tcPr>
            <w:tcW w:w="4962" w:type="dxa"/>
            <w:shd w:val="clear" w:color="auto" w:fill="FFFFFF" w:themeFill="background1"/>
          </w:tcPr>
          <w:p w:rsidR="000B1D73" w:rsidRPr="001D5FA8" w:rsidRDefault="0098432F"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Приказ Департамента здравоохранения г. Москвы от 13.11.2014 № 972 «О списании движимого имущества и создании постоянно действующей комиссии Департамента здравоохранения города </w:t>
            </w:r>
            <w:proofErr w:type="gramStart"/>
            <w:r w:rsidRPr="001D5FA8">
              <w:rPr>
                <w:rFonts w:ascii="Times New Roman" w:hAnsi="Times New Roman" w:cs="Times New Roman"/>
                <w:sz w:val="24"/>
                <w:szCs w:val="24"/>
              </w:rPr>
              <w:t>Москвы</w:t>
            </w:r>
            <w:proofErr w:type="gramEnd"/>
            <w:r w:rsidRPr="001D5FA8">
              <w:rPr>
                <w:rFonts w:ascii="Times New Roman" w:hAnsi="Times New Roman" w:cs="Times New Roman"/>
                <w:sz w:val="24"/>
                <w:szCs w:val="24"/>
              </w:rPr>
              <w:t xml:space="preserve"> по списанию пришедшего в негодность движимого имущества»</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Утверждены:</w:t>
            </w:r>
          </w:p>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Состав постоянно действующей комиссии Департамента здравоохранения города </w:t>
            </w:r>
            <w:proofErr w:type="gramStart"/>
            <w:r w:rsidRPr="001D5FA8">
              <w:rPr>
                <w:rFonts w:ascii="Times New Roman" w:hAnsi="Times New Roman" w:cs="Times New Roman"/>
                <w:sz w:val="24"/>
                <w:szCs w:val="24"/>
              </w:rPr>
              <w:t>Москвы</w:t>
            </w:r>
            <w:proofErr w:type="gramEnd"/>
            <w:r w:rsidRPr="001D5FA8">
              <w:rPr>
                <w:rFonts w:ascii="Times New Roman" w:hAnsi="Times New Roman" w:cs="Times New Roman"/>
                <w:sz w:val="24"/>
                <w:szCs w:val="24"/>
              </w:rPr>
              <w:t xml:space="preserve"> по списанию пришедшего в негодность движимого имущества подведомственных учреждений.</w:t>
            </w:r>
          </w:p>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Положение о списании пришедшего в негодность движимого имущества подведомственных Департаменту здравоохранения города Москвы учреждений</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Приказ Департамента здравоохранения города Москвы от 17.05.2012 № 448 «О порядке определения видов и перечней особо ценного движимого имущества государственных бюджетных и автономных учреждений города Москвы»</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Утверждены виды особо ценного движимого имущества государственных бюджетных и автономных учреждений Департамента здравоохранения города Москвы с перечнем государственных учреждений, к которым он применим.</w:t>
            </w:r>
          </w:p>
        </w:tc>
      </w:tr>
      <w:tr w:rsidR="000B1D73" w:rsidRPr="001D5FA8" w:rsidTr="001D5FA8">
        <w:tc>
          <w:tcPr>
            <w:tcW w:w="4962" w:type="dxa"/>
            <w:shd w:val="clear" w:color="auto" w:fill="FFFFFF" w:themeFill="background1"/>
          </w:tcPr>
          <w:p w:rsidR="000B1D73" w:rsidRPr="00E5797D" w:rsidRDefault="004C465F" w:rsidP="001D5FA8">
            <w:pPr>
              <w:pStyle w:val="ConsPlusNormal"/>
              <w:spacing w:after="60"/>
              <w:ind w:firstLine="0"/>
              <w:rPr>
                <w:rFonts w:ascii="Times New Roman" w:hAnsi="Times New Roman" w:cs="Times New Roman"/>
                <w:sz w:val="24"/>
                <w:szCs w:val="24"/>
              </w:rPr>
            </w:pPr>
            <w:r w:rsidRPr="00E5797D">
              <w:rPr>
                <w:rFonts w:ascii="Times New Roman" w:hAnsi="Times New Roman" w:cs="Times New Roman"/>
                <w:sz w:val="24"/>
                <w:szCs w:val="24"/>
              </w:rPr>
              <w:t xml:space="preserve">Приказ Департамента городского имущества города Москвы от 19.04.2019 № 91 «О порядке согласования сделок в отношении </w:t>
            </w:r>
            <w:r w:rsidRPr="00E5797D">
              <w:rPr>
                <w:rFonts w:ascii="Times New Roman" w:hAnsi="Times New Roman" w:cs="Times New Roman"/>
                <w:sz w:val="24"/>
                <w:szCs w:val="24"/>
              </w:rPr>
              <w:lastRenderedPageBreak/>
              <w:t>имущества, закрепленного на праве оперативного управления за государственными учреждениями города Москвы или органами власти города Москвы»</w:t>
            </w:r>
          </w:p>
        </w:tc>
        <w:tc>
          <w:tcPr>
            <w:tcW w:w="9639" w:type="dxa"/>
            <w:shd w:val="clear" w:color="auto" w:fill="FFFFFF" w:themeFill="background1"/>
          </w:tcPr>
          <w:p w:rsidR="004C465F" w:rsidRPr="00E5797D" w:rsidRDefault="004C465F" w:rsidP="004C465F">
            <w:pPr>
              <w:ind w:firstLine="0"/>
              <w:rPr>
                <w:rFonts w:ascii="Verdana" w:hAnsi="Verdana"/>
                <w:color w:val="000000"/>
                <w:sz w:val="21"/>
                <w:szCs w:val="21"/>
              </w:rPr>
            </w:pPr>
            <w:r w:rsidRPr="00E5797D">
              <w:rPr>
                <w:color w:val="000000"/>
                <w:sz w:val="24"/>
                <w:szCs w:val="24"/>
              </w:rPr>
              <w:lastRenderedPageBreak/>
              <w:t xml:space="preserve">Устанавливает порядок рассмотрения Департаментом городского имущества города Москвы заявлений о согласовании заключения договоров аренды в отношении объектов недвижимого имущества, закрепленных на праве оперативного управления за </w:t>
            </w:r>
            <w:r w:rsidRPr="00E5797D">
              <w:rPr>
                <w:color w:val="000000"/>
                <w:sz w:val="24"/>
                <w:szCs w:val="24"/>
              </w:rPr>
              <w:lastRenderedPageBreak/>
              <w:t>государственными учреждениями города Москвы или органами власти города Москвы</w:t>
            </w:r>
          </w:p>
          <w:p w:rsidR="000B1D73" w:rsidRPr="00E5797D" w:rsidRDefault="000B1D73" w:rsidP="001D5FA8">
            <w:pPr>
              <w:pStyle w:val="ConsPlusNormal"/>
              <w:spacing w:after="60"/>
              <w:ind w:firstLine="0"/>
              <w:rPr>
                <w:rFonts w:ascii="Times New Roman" w:hAnsi="Times New Roman" w:cs="Times New Roman"/>
                <w:sz w:val="24"/>
                <w:szCs w:val="24"/>
              </w:rPr>
            </w:pP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Информационное письмо Департамента имущества города Москвы от 30.05.2011 № 11/11453 «Об особо ценном движимом имуществе»</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Утверждена форма перечня ОЦДИ</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Письмо Департамента здравоохранения города Москвы от </w:t>
            </w:r>
            <w:r w:rsidR="00D6063E" w:rsidRPr="001D5FA8">
              <w:rPr>
                <w:rFonts w:ascii="Times New Roman" w:hAnsi="Times New Roman" w:cs="Times New Roman"/>
                <w:sz w:val="24"/>
                <w:szCs w:val="24"/>
              </w:rPr>
              <w:t xml:space="preserve">17.09.2014 № 32-13-28897/14-1 </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Информационное письмо о разъяснении порядка предметно-количественного учета лекарственных препаратов </w:t>
            </w:r>
          </w:p>
        </w:tc>
      </w:tr>
      <w:tr w:rsidR="000B1D73" w:rsidRPr="001D5FA8" w:rsidTr="001D5FA8">
        <w:tc>
          <w:tcPr>
            <w:tcW w:w="14601" w:type="dxa"/>
            <w:gridSpan w:val="2"/>
            <w:shd w:val="clear" w:color="auto" w:fill="FFFFFF" w:themeFill="background1"/>
          </w:tcPr>
          <w:p w:rsidR="000B1D73" w:rsidRPr="001D5FA8" w:rsidRDefault="000B1D73" w:rsidP="001D5FA8">
            <w:pPr>
              <w:spacing w:after="240"/>
              <w:ind w:right="210" w:firstLine="0"/>
              <w:jc w:val="left"/>
              <w:rPr>
                <w:b/>
                <w:sz w:val="24"/>
                <w:szCs w:val="24"/>
              </w:rPr>
            </w:pPr>
            <w:proofErr w:type="gramStart"/>
            <w:r w:rsidRPr="001D5FA8">
              <w:rPr>
                <w:b/>
                <w:sz w:val="24"/>
                <w:szCs w:val="24"/>
              </w:rPr>
              <w:t>Регламентирующие</w:t>
            </w:r>
            <w:proofErr w:type="gramEnd"/>
            <w:r w:rsidRPr="001D5FA8">
              <w:rPr>
                <w:b/>
                <w:sz w:val="24"/>
                <w:szCs w:val="24"/>
              </w:rPr>
              <w:t xml:space="preserve"> учет операций с денежными средствами, в том числе учет с кассовыми операциями и денежными документами</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Постановление Правительства РФ от 06.05.2008 № 359 «О порядке осуществления наличных денежных расчетов и (или) расчетов с использованием платежных карт без применения ККТ»</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Утвержденное Положение устанавливает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ККТ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bookmarkStart w:id="2" w:name="OLE_LINK1"/>
            <w:bookmarkStart w:id="3" w:name="OLE_LINK2"/>
            <w:r w:rsidRPr="001D5FA8">
              <w:rPr>
                <w:rFonts w:ascii="Times New Roman" w:hAnsi="Times New Roman" w:cs="Times New Roman"/>
                <w:sz w:val="24"/>
                <w:szCs w:val="24"/>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Определяет порядок ведения кассовых операций с банкнотами и монетой Банка России на территории Российской Федерации юридическими лицами (за исключением Центрального банка Российской Федерации, кредитных организаций, а также упрощенный порядок ведения кассовых операций индивидуальными предпринимателями и субъектами малого предпринимательства.</w:t>
            </w:r>
            <w:proofErr w:type="gramEnd"/>
          </w:p>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Получатели бюджетных сре</w:t>
            </w:r>
            <w:proofErr w:type="gramStart"/>
            <w:r w:rsidRPr="001D5FA8">
              <w:rPr>
                <w:rFonts w:ascii="Times New Roman" w:hAnsi="Times New Roman" w:cs="Times New Roman"/>
                <w:sz w:val="24"/>
                <w:szCs w:val="24"/>
              </w:rPr>
              <w:t>дств пр</w:t>
            </w:r>
            <w:proofErr w:type="gramEnd"/>
            <w:r w:rsidRPr="001D5FA8">
              <w:rPr>
                <w:rFonts w:ascii="Times New Roman" w:hAnsi="Times New Roman" w:cs="Times New Roman"/>
                <w:sz w:val="24"/>
                <w:szCs w:val="24"/>
              </w:rPr>
              <w:t xml:space="preserve">и ведении кассовых операций руководствуются настоящим Указанием, если иное не определено нормативным правовым актом, </w:t>
            </w:r>
            <w:r w:rsidRPr="001D5FA8">
              <w:rPr>
                <w:rFonts w:ascii="Times New Roman" w:hAnsi="Times New Roman" w:cs="Times New Roman"/>
                <w:sz w:val="24"/>
                <w:szCs w:val="24"/>
              </w:rPr>
              <w:lastRenderedPageBreak/>
              <w:t>регулирующим порядок ведения кассовых операций получателями бюджетных средств.</w:t>
            </w:r>
          </w:p>
        </w:tc>
      </w:tr>
      <w:bookmarkEnd w:id="2"/>
      <w:bookmarkEnd w:id="3"/>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lastRenderedPageBreak/>
              <w:t xml:space="preserve">Письмо Центрального Банка Российской Федерации от 30.07. 2013 № 14-27/783 «По вопросу возможности заключения бюджетным учреждением договора об осуществлении </w:t>
            </w:r>
            <w:proofErr w:type="spellStart"/>
            <w:r w:rsidRPr="001D5FA8">
              <w:rPr>
                <w:rFonts w:ascii="Times New Roman" w:hAnsi="Times New Roman" w:cs="Times New Roman"/>
                <w:sz w:val="24"/>
                <w:szCs w:val="24"/>
              </w:rPr>
              <w:t>эквайринга</w:t>
            </w:r>
            <w:proofErr w:type="spellEnd"/>
            <w:r w:rsidRPr="001D5FA8">
              <w:rPr>
                <w:rFonts w:ascii="Times New Roman" w:hAnsi="Times New Roman" w:cs="Times New Roman"/>
                <w:sz w:val="24"/>
                <w:szCs w:val="24"/>
              </w:rPr>
              <w:t>»</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 xml:space="preserve">В письме определено, что действующее законодательство не содержит норм, запрещающих заключение договора об осуществлении </w:t>
            </w:r>
            <w:proofErr w:type="spellStart"/>
            <w:r w:rsidRPr="001D5FA8">
              <w:rPr>
                <w:rFonts w:ascii="Times New Roman" w:hAnsi="Times New Roman" w:cs="Times New Roman"/>
                <w:sz w:val="24"/>
                <w:szCs w:val="24"/>
              </w:rPr>
              <w:t>эквайринга</w:t>
            </w:r>
            <w:proofErr w:type="spellEnd"/>
            <w:r w:rsidRPr="001D5FA8">
              <w:rPr>
                <w:rFonts w:ascii="Times New Roman" w:hAnsi="Times New Roman" w:cs="Times New Roman"/>
                <w:sz w:val="24"/>
                <w:szCs w:val="24"/>
              </w:rPr>
              <w:t xml:space="preserve"> между кредитной организацией и бюджетным учреждением</w:t>
            </w:r>
          </w:p>
        </w:tc>
      </w:tr>
      <w:tr w:rsidR="000B1D73" w:rsidRPr="001D5FA8" w:rsidTr="001D5FA8">
        <w:tc>
          <w:tcPr>
            <w:tcW w:w="4962"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r w:rsidRPr="001D5FA8">
              <w:rPr>
                <w:rFonts w:ascii="Times New Roman" w:hAnsi="Times New Roman" w:cs="Times New Roman"/>
                <w:sz w:val="24"/>
                <w:szCs w:val="24"/>
              </w:rPr>
              <w: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24.04.2008 № 318-П</w:t>
            </w:r>
          </w:p>
        </w:tc>
        <w:tc>
          <w:tcPr>
            <w:tcW w:w="9639" w:type="dxa"/>
            <w:shd w:val="clear" w:color="auto" w:fill="FFFFFF" w:themeFill="background1"/>
          </w:tcPr>
          <w:p w:rsidR="000B1D73" w:rsidRPr="001D5FA8" w:rsidRDefault="000B1D73" w:rsidP="001D5FA8">
            <w:pPr>
              <w:pStyle w:val="ConsPlusNormal"/>
              <w:spacing w:after="60"/>
              <w:ind w:firstLine="0"/>
              <w:rPr>
                <w:rFonts w:ascii="Times New Roman" w:hAnsi="Times New Roman" w:cs="Times New Roman"/>
                <w:sz w:val="24"/>
                <w:szCs w:val="24"/>
              </w:rPr>
            </w:pPr>
            <w:proofErr w:type="gramStart"/>
            <w:r w:rsidRPr="001D5FA8">
              <w:rPr>
                <w:rFonts w:ascii="Times New Roman" w:hAnsi="Times New Roman" w:cs="Times New Roman"/>
                <w:sz w:val="24"/>
                <w:szCs w:val="24"/>
              </w:rPr>
              <w:t>Положение определяет порядок ведения кассовых операций с валютой Российской Федерации в виде банкнот и монеты Банка России при осуществлении банковских операций и других сделок, порядок работы с вызывающими сомнение в платежеспособности денежными знаками Банка России, неплатежеспособными, не имеющими признаков подделки денежными знаками Банка России, денежными знаками Банка России, наличие признаков подделки которых не вызывает сомнения у кассового работника кредитной организации</w:t>
            </w:r>
            <w:proofErr w:type="gramEnd"/>
            <w:r w:rsidRPr="001D5FA8">
              <w:rPr>
                <w:rFonts w:ascii="Times New Roman" w:hAnsi="Times New Roman" w:cs="Times New Roman"/>
                <w:sz w:val="24"/>
                <w:szCs w:val="24"/>
              </w:rPr>
              <w:t>, а также устанавливает правила хранения, перевозки и инкассации наличных денег в кредитных организациях на территории Российской Федерации</w:t>
            </w:r>
          </w:p>
        </w:tc>
      </w:tr>
      <w:tr w:rsidR="000B1D73" w:rsidRPr="001D5FA8" w:rsidTr="001D5FA8">
        <w:tc>
          <w:tcPr>
            <w:tcW w:w="14601" w:type="dxa"/>
            <w:gridSpan w:val="2"/>
            <w:shd w:val="clear" w:color="auto" w:fill="FFFFFF" w:themeFill="background1"/>
          </w:tcPr>
          <w:p w:rsidR="000B1D73" w:rsidRPr="001D5FA8" w:rsidRDefault="000B1D73" w:rsidP="001D5FA8">
            <w:pPr>
              <w:pStyle w:val="ac"/>
              <w:spacing w:before="0" w:beforeAutospacing="0" w:after="240" w:afterAutospacing="0"/>
              <w:ind w:left="283" w:right="210"/>
              <w:jc w:val="left"/>
              <w:rPr>
                <w:rFonts w:ascii="Times New Roman" w:hAnsi="Times New Roman" w:cs="Times New Roman"/>
                <w:b/>
                <w:sz w:val="24"/>
                <w:szCs w:val="24"/>
                <w:lang w:val="ru-RU" w:eastAsia="ru-RU"/>
              </w:rPr>
            </w:pPr>
            <w:r w:rsidRPr="001D5FA8">
              <w:rPr>
                <w:rFonts w:ascii="Times New Roman" w:hAnsi="Times New Roman" w:cs="Times New Roman"/>
                <w:b/>
                <w:sz w:val="24"/>
                <w:szCs w:val="24"/>
                <w:lang w:val="ru-RU" w:eastAsia="ru-RU"/>
              </w:rPr>
              <w:t>Нормативные акты, регламентирующие учет расчетов с подотчетными лицами</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Постановление Правительства РФ от 02.10.2002 № 729 «О размерах возмещения расходов, связанных со служебными командировками на территории РФ, работникам организаций, финансируемых за счет средств федерального бюджета»</w:t>
            </w:r>
          </w:p>
        </w:tc>
        <w:tc>
          <w:tcPr>
            <w:tcW w:w="9639" w:type="dxa"/>
            <w:shd w:val="clear" w:color="auto" w:fill="FFFFFF" w:themeFill="background1"/>
          </w:tcPr>
          <w:p w:rsidR="000B1D73" w:rsidRPr="001D5FA8" w:rsidRDefault="000B1D73" w:rsidP="001D5FA8">
            <w:pPr>
              <w:pStyle w:val="aff1"/>
              <w:spacing w:before="0" w:beforeAutospacing="0" w:after="240" w:afterAutospacing="0"/>
              <w:ind w:left="283"/>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Установлены размеры возмещений расходов, связанных со служебными командировками на территории Российской Федерации, работникам организаций, финансируемых за счет федерального бюджета</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Постановление Правительства РФ от 13.10.2008 № 749 «Об особенностях направления работников в служебные командировки»</w:t>
            </w:r>
          </w:p>
        </w:tc>
        <w:tc>
          <w:tcPr>
            <w:tcW w:w="9639" w:type="dxa"/>
            <w:shd w:val="clear" w:color="auto" w:fill="FFFFFF" w:themeFill="background1"/>
          </w:tcPr>
          <w:p w:rsidR="000B1D73" w:rsidRPr="001D5FA8" w:rsidRDefault="000B1D73" w:rsidP="001D5FA8">
            <w:pPr>
              <w:pStyle w:val="aff1"/>
              <w:spacing w:before="0" w:beforeAutospacing="0" w:after="240" w:afterAutospacing="0"/>
              <w:ind w:left="283"/>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Положение определяет особенности порядка направления работников в служебные командировки, как на территории РФ, так и на территории иностранных государств</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 xml:space="preserve">Постановление Правительства РФ от 26.12.2005 № 812 «О размере и порядке </w:t>
            </w:r>
            <w:r w:rsidRPr="001D5FA8">
              <w:rPr>
                <w:rFonts w:ascii="Times New Roman" w:hAnsi="Times New Roman" w:cs="Times New Roman"/>
                <w:sz w:val="24"/>
                <w:szCs w:val="24"/>
                <w:lang w:val="ru-RU" w:eastAsia="ru-RU"/>
              </w:rPr>
              <w:lastRenderedPageBreak/>
              <w:t>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tc>
        <w:tc>
          <w:tcPr>
            <w:tcW w:w="9639" w:type="dxa"/>
            <w:shd w:val="clear" w:color="auto" w:fill="FFFFFF" w:themeFill="background1"/>
          </w:tcPr>
          <w:p w:rsidR="000B1D73" w:rsidRPr="001D5FA8" w:rsidRDefault="000B1D73" w:rsidP="001D5FA8">
            <w:pPr>
              <w:pStyle w:val="aff1"/>
              <w:spacing w:before="0" w:beforeAutospacing="0" w:after="240" w:afterAutospacing="0"/>
              <w:ind w:left="283"/>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 xml:space="preserve">Установлены размеры суточных в иностранной валюте, выплачиваемых работникам организаций, финансируемых за счет средств федерального бюджета, при служебных </w:t>
            </w:r>
            <w:r w:rsidRPr="001D5FA8">
              <w:rPr>
                <w:rFonts w:ascii="Times New Roman" w:hAnsi="Times New Roman" w:cs="Times New Roman"/>
                <w:sz w:val="24"/>
                <w:szCs w:val="24"/>
                <w:lang w:val="ru-RU" w:eastAsia="ru-RU"/>
              </w:rPr>
              <w:lastRenderedPageBreak/>
              <w:t>командировках на территории иностранных государств</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 xml:space="preserve">Приказ </w:t>
            </w:r>
            <w:proofErr w:type="spellStart"/>
            <w:r w:rsidRPr="001D5FA8">
              <w:rPr>
                <w:rFonts w:ascii="Times New Roman" w:hAnsi="Times New Roman" w:cs="Times New Roman"/>
                <w:sz w:val="24"/>
                <w:szCs w:val="24"/>
                <w:lang w:val="ru-RU" w:eastAsia="ru-RU"/>
              </w:rPr>
              <w:t>Минздравсоцразвития</w:t>
            </w:r>
            <w:proofErr w:type="spellEnd"/>
            <w:r w:rsidRPr="001D5FA8">
              <w:rPr>
                <w:rFonts w:ascii="Times New Roman" w:hAnsi="Times New Roman" w:cs="Times New Roman"/>
                <w:sz w:val="24"/>
                <w:szCs w:val="24"/>
                <w:lang w:val="ru-RU" w:eastAsia="ru-RU"/>
              </w:rPr>
              <w:t xml:space="preserve"> РФ от 11.09.2009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tc>
        <w:tc>
          <w:tcPr>
            <w:tcW w:w="9639" w:type="dxa"/>
            <w:shd w:val="clear" w:color="auto" w:fill="FFFFFF" w:themeFill="background1"/>
          </w:tcPr>
          <w:p w:rsidR="000B1D73" w:rsidRPr="001D5FA8" w:rsidRDefault="000B1D73" w:rsidP="001D5FA8">
            <w:pPr>
              <w:pStyle w:val="aff1"/>
              <w:spacing w:before="0" w:beforeAutospacing="0" w:after="240" w:afterAutospacing="0"/>
              <w:ind w:left="283"/>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t>Утверждены Порядок учета работников, выбывающих в служебные командировки из командирующей организации и прибывших в организацию, в которую они командированы; форма журнала учета работников, выбывающих в служебные командировки из командирующей организации; форма журнала учета работников, прибывших в организацию, в которую они командированы.</w:t>
            </w:r>
            <w:proofErr w:type="gramEnd"/>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Приказа Минтранса России от 08.11.2006 № 134 «Об установлении формы электронного пассажирского билета и багажной квитанции в гражданской авиации»</w:t>
            </w:r>
          </w:p>
        </w:tc>
        <w:tc>
          <w:tcPr>
            <w:tcW w:w="9639" w:type="dxa"/>
            <w:shd w:val="clear" w:color="auto" w:fill="FFFFFF" w:themeFill="background1"/>
          </w:tcPr>
          <w:p w:rsidR="000B1D73" w:rsidRPr="001D5FA8" w:rsidRDefault="000B1D73" w:rsidP="001D5FA8">
            <w:pPr>
              <w:pStyle w:val="aff1"/>
              <w:spacing w:before="0" w:beforeAutospacing="0" w:after="240" w:afterAutospacing="0"/>
              <w:ind w:left="283"/>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t>Установлена форма электронного пассажирского билета и багажной квитанции в гражданской авиации, а также что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roofErr w:type="gramEnd"/>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Приказ Минтранса России от 21.08.2012 № 322 «Об установлении форм электронных проездных документов (билетов) на железнодорожном транспорте»</w:t>
            </w:r>
          </w:p>
        </w:tc>
        <w:tc>
          <w:tcPr>
            <w:tcW w:w="9639" w:type="dxa"/>
            <w:shd w:val="clear" w:color="auto" w:fill="FFFFFF" w:themeFill="background1"/>
          </w:tcPr>
          <w:p w:rsidR="000B1D73" w:rsidRPr="001D5FA8" w:rsidRDefault="000B1D73" w:rsidP="001D5FA8">
            <w:pPr>
              <w:pStyle w:val="aff1"/>
              <w:spacing w:before="0" w:beforeAutospacing="0" w:after="240" w:afterAutospacing="0"/>
              <w:ind w:left="283"/>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t>Установлена форма электронных проездных документов (билетов) на железнодорожном транспорте согласно приложению к настоящему приказу, а также, что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roofErr w:type="gramEnd"/>
          </w:p>
        </w:tc>
      </w:tr>
      <w:tr w:rsidR="000B1D73" w:rsidRPr="001D5FA8" w:rsidTr="001D5FA8">
        <w:tc>
          <w:tcPr>
            <w:tcW w:w="14601" w:type="dxa"/>
            <w:gridSpan w:val="2"/>
            <w:shd w:val="clear" w:color="auto" w:fill="FFFFFF" w:themeFill="background1"/>
          </w:tcPr>
          <w:p w:rsidR="000B1D73" w:rsidRPr="001D5FA8" w:rsidRDefault="000B1D73" w:rsidP="001D5FA8">
            <w:pPr>
              <w:pStyle w:val="ac"/>
              <w:tabs>
                <w:tab w:val="clear" w:pos="360"/>
                <w:tab w:val="num" w:pos="0"/>
              </w:tabs>
              <w:spacing w:before="0" w:beforeAutospacing="0" w:after="240" w:afterAutospacing="0"/>
              <w:ind w:right="210"/>
              <w:jc w:val="left"/>
              <w:rPr>
                <w:rFonts w:ascii="Times New Roman" w:hAnsi="Times New Roman" w:cs="Times New Roman"/>
                <w:b/>
                <w:sz w:val="24"/>
                <w:szCs w:val="24"/>
                <w:lang w:val="ru-RU" w:eastAsia="ru-RU"/>
              </w:rPr>
            </w:pPr>
            <w:r w:rsidRPr="001D5FA8">
              <w:rPr>
                <w:rFonts w:ascii="Times New Roman" w:hAnsi="Times New Roman" w:cs="Times New Roman"/>
                <w:b/>
                <w:sz w:val="24"/>
                <w:szCs w:val="24"/>
                <w:lang w:val="ru-RU" w:eastAsia="ru-RU"/>
              </w:rPr>
              <w:t>Нормативные акты, регламентирующие учет расчетов с поставщиками и подрядчиками</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Федеральный закон от 18.07.2011 № 223-ФЗ «О закупках товаров, работ, услуг отдельными видами юридических лиц»</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Закон устанавливает общие принципы закупки товаров, работ, услуг и основные требования к закупке товаров, работ, услуг, в том числе для автономных учреждений</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Постановление Правительства Москвы от 30.12.2008 № 1229-ПП «Об авансовых платежах, совершаемых за счет средств бюджета города Москвы»</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Об установлении права получателям средств бюджета города Москвы предусматривать авансовые платежи при заключении договоров (государственных контрактов) на поставку товаров, выполнение работ, оказание услуг, включая договоры, подлежащие оплате за счет средств, полученных от оказания платных услуг, иной приносящей доход деятельности. Размеры авансовых платежей распространяются на договоры, заключаемые государственными бюджетными и автономными учреждениями города Москвы, перешедшими на финансовое обеспечение в форме субсидий на выполнение государственного задания.</w:t>
            </w:r>
          </w:p>
        </w:tc>
      </w:tr>
      <w:tr w:rsidR="000B1D73" w:rsidRPr="001D5FA8" w:rsidTr="001D5FA8">
        <w:tc>
          <w:tcPr>
            <w:tcW w:w="14601" w:type="dxa"/>
            <w:gridSpan w:val="2"/>
            <w:shd w:val="clear" w:color="auto" w:fill="FFFFFF" w:themeFill="background1"/>
          </w:tcPr>
          <w:p w:rsidR="000B1D73" w:rsidRPr="001D5FA8" w:rsidRDefault="000B1D73" w:rsidP="001D5FA8">
            <w:pPr>
              <w:autoSpaceDE w:val="0"/>
              <w:autoSpaceDN w:val="0"/>
              <w:adjustRightInd w:val="0"/>
              <w:spacing w:after="240"/>
              <w:ind w:right="210" w:firstLine="0"/>
              <w:jc w:val="left"/>
              <w:rPr>
                <w:b/>
                <w:sz w:val="24"/>
                <w:szCs w:val="24"/>
              </w:rPr>
            </w:pPr>
            <w:r w:rsidRPr="001D5FA8">
              <w:rPr>
                <w:b/>
                <w:sz w:val="24"/>
                <w:szCs w:val="24"/>
              </w:rPr>
              <w:t>Нормативные акты, регламентирующие учет расчетов по доходам</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Федеральный закон от 29.11.2010 № 326-ФЗ «Об обязательном медицинском страховании в Российской Федерации»</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Федеральный закон от 28.03.1998 № 53-ФЗ «О воинской обязанности и военной службе»</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 xml:space="preserve">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 Пунктом 7 ст. 1 определено, что компенсация расходов, понесенных организациями в связи с исполнением указанного Федерального закона, является расходным </w:t>
            </w:r>
            <w:r w:rsidRPr="001D5FA8">
              <w:rPr>
                <w:rFonts w:ascii="Times New Roman" w:hAnsi="Times New Roman" w:cs="Times New Roman"/>
                <w:sz w:val="24"/>
                <w:szCs w:val="24"/>
                <w:lang w:val="ru-RU" w:eastAsia="ru-RU"/>
              </w:rPr>
              <w:lastRenderedPageBreak/>
              <w:t>обязательством Российской Федерации и осуществляется в порядке, определяемом Правительством Российской Федерации</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lastRenderedPageBreak/>
              <w:t>Постановление Правительства РФ от 31.12.2010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roofErr w:type="gramEnd"/>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 xml:space="preserve">Утверждены: Правила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roofErr w:type="gramStart"/>
            <w:r w:rsidRPr="001D5FA8">
              <w:rPr>
                <w:rFonts w:ascii="Times New Roman" w:hAnsi="Times New Roman" w:cs="Times New Roman"/>
                <w:sz w:val="24"/>
                <w:szCs w:val="24"/>
                <w:lang w:val="ru-RU" w:eastAsia="ru-RU"/>
              </w:rPr>
              <w:t>типовая форма договора между территориальным органом Фонда социального страхования Российской Федерации и медицинской организацией об оплате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roofErr w:type="gramEnd"/>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Приказ Минздрава России от 16.07.2014 № 370н «Об утверждении порядка и условий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t xml:space="preserve">Порядок определяет условия и устанавливает правила осуществления Фондом социального страхования Российской Федерации функций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w:t>
            </w:r>
            <w:proofErr w:type="spellStart"/>
            <w:r w:rsidRPr="001D5FA8">
              <w:rPr>
                <w:rFonts w:ascii="Times New Roman" w:hAnsi="Times New Roman" w:cs="Times New Roman"/>
                <w:sz w:val="24"/>
                <w:szCs w:val="24"/>
                <w:lang w:val="ru-RU" w:eastAsia="ru-RU"/>
              </w:rPr>
              <w:t>новорожденнымв</w:t>
            </w:r>
            <w:proofErr w:type="spellEnd"/>
            <w:proofErr w:type="gramEnd"/>
            <w:r w:rsidRPr="001D5FA8">
              <w:rPr>
                <w:rFonts w:ascii="Times New Roman" w:hAnsi="Times New Roman" w:cs="Times New Roman"/>
                <w:sz w:val="24"/>
                <w:szCs w:val="24"/>
                <w:lang w:val="ru-RU" w:eastAsia="ru-RU"/>
              </w:rPr>
              <w:t xml:space="preserve"> </w:t>
            </w:r>
            <w:proofErr w:type="gramStart"/>
            <w:r w:rsidRPr="001D5FA8">
              <w:rPr>
                <w:rFonts w:ascii="Times New Roman" w:hAnsi="Times New Roman" w:cs="Times New Roman"/>
                <w:sz w:val="24"/>
                <w:szCs w:val="24"/>
                <w:lang w:val="ru-RU" w:eastAsia="ru-RU"/>
              </w:rPr>
              <w:t>период родов и в послеродовой период, а также по проведению профилактических медицинских осмотров ребенка, поставленного в течение первого года жизни в возрасте до 3 месяцев на учет в медицинской организации, за счет межбюджетных трансфертов, перечисляемых Фонду социального страхования Российской Федерации на эти цели из бюджета Федерального фонда обязательного медицинского страхования, а также порядок выдачи женщинам родовых сертификатов.</w:t>
            </w:r>
            <w:proofErr w:type="gramEnd"/>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t xml:space="preserve">Приказ Минздрава России от 16.07.2014 № 371н «Об утверждении форм заявок на перечисление Федеральным фондом </w:t>
            </w:r>
            <w:r w:rsidRPr="001D5FA8">
              <w:rPr>
                <w:rFonts w:ascii="Times New Roman" w:hAnsi="Times New Roman" w:cs="Times New Roman"/>
                <w:sz w:val="24"/>
                <w:szCs w:val="24"/>
                <w:lang w:val="ru-RU" w:eastAsia="ru-RU"/>
              </w:rPr>
              <w:lastRenderedPageBreak/>
              <w:t>обязательного медицинского страхования в бюджет Фонда социального страхования Российской Федерации средств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w:t>
            </w:r>
            <w:proofErr w:type="gramEnd"/>
            <w:r w:rsidRPr="001D5FA8">
              <w:rPr>
                <w:rFonts w:ascii="Times New Roman" w:hAnsi="Times New Roman" w:cs="Times New Roman"/>
                <w:sz w:val="24"/>
                <w:szCs w:val="24"/>
                <w:lang w:val="ru-RU" w:eastAsia="ru-RU"/>
              </w:rPr>
              <w:t xml:space="preserve"> в течение первого года жизни, и средств на оплату организациям услуг по изготовлению и доставке в территориальные органы </w:t>
            </w:r>
            <w:proofErr w:type="gramStart"/>
            <w:r w:rsidRPr="001D5FA8">
              <w:rPr>
                <w:rFonts w:ascii="Times New Roman" w:hAnsi="Times New Roman" w:cs="Times New Roman"/>
                <w:sz w:val="24"/>
                <w:szCs w:val="24"/>
                <w:lang w:val="ru-RU" w:eastAsia="ru-RU"/>
              </w:rPr>
              <w:t>Фонда социального страхования Российской Федерации бланков родовых сертификатов</w:t>
            </w:r>
            <w:proofErr w:type="gramEnd"/>
            <w:r w:rsidRPr="001D5FA8">
              <w:rPr>
                <w:rFonts w:ascii="Times New Roman" w:hAnsi="Times New Roman" w:cs="Times New Roman"/>
                <w:sz w:val="24"/>
                <w:szCs w:val="24"/>
                <w:lang w:val="ru-RU" w:eastAsia="ru-RU"/>
              </w:rPr>
              <w:t>»</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lastRenderedPageBreak/>
              <w:t xml:space="preserve">Утверждены: форма заявки на перечисление Федеральным фондом обязательного медицинского страхования в бюджет Фонда социального страхования Российской Федерации средств на оплату медицинским организациям услуг по медицинской </w:t>
            </w:r>
            <w:r w:rsidRPr="001D5FA8">
              <w:rPr>
                <w:rFonts w:ascii="Times New Roman" w:hAnsi="Times New Roman" w:cs="Times New Roman"/>
                <w:sz w:val="24"/>
                <w:szCs w:val="24"/>
                <w:lang w:val="ru-RU" w:eastAsia="ru-RU"/>
              </w:rPr>
              <w:lastRenderedPageBreak/>
              <w:t>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roofErr w:type="gramEnd"/>
            <w:r w:rsidRPr="001D5FA8">
              <w:rPr>
                <w:rFonts w:ascii="Times New Roman" w:hAnsi="Times New Roman" w:cs="Times New Roman"/>
                <w:sz w:val="24"/>
                <w:szCs w:val="24"/>
                <w:lang w:val="ru-RU" w:eastAsia="ru-RU"/>
              </w:rPr>
              <w:t xml:space="preserve"> форма заявки на перечисление Федеральным фондом обязательного медицинского страхования в бюджет Фонда социального страхования Российской Федерации средств на оплату организациям услуг по изготовлению и доставке в территориальные органы </w:t>
            </w:r>
            <w:proofErr w:type="gramStart"/>
            <w:r w:rsidRPr="001D5FA8">
              <w:rPr>
                <w:rFonts w:ascii="Times New Roman" w:hAnsi="Times New Roman" w:cs="Times New Roman"/>
                <w:sz w:val="24"/>
                <w:szCs w:val="24"/>
                <w:lang w:val="ru-RU" w:eastAsia="ru-RU"/>
              </w:rPr>
              <w:t>Фонда социального страхования Российской Федерации бланков родовых сертификатов</w:t>
            </w:r>
            <w:proofErr w:type="gramEnd"/>
            <w:r w:rsidRPr="001D5FA8">
              <w:rPr>
                <w:rFonts w:ascii="Times New Roman" w:hAnsi="Times New Roman" w:cs="Times New Roman"/>
                <w:sz w:val="24"/>
                <w:szCs w:val="24"/>
                <w:lang w:val="ru-RU" w:eastAsia="ru-RU"/>
              </w:rPr>
              <w:t>.</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Приказ Минздрава России от 24.12.2012 № 1355н «Об утверждении формы типового договора на оказание и оплату медицинской помощи по обязательному медицинскому страхованию»</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Утверждена форма типового договора на оказание и оплату медицинской помощи по обязательному медицинскому страхованию.</w:t>
            </w:r>
          </w:p>
        </w:tc>
      </w:tr>
      <w:tr w:rsidR="000B1D73" w:rsidRPr="001D5FA8" w:rsidTr="001D5FA8">
        <w:tc>
          <w:tcPr>
            <w:tcW w:w="4962" w:type="dxa"/>
            <w:shd w:val="clear" w:color="auto" w:fill="FFFFFF" w:themeFill="background1"/>
          </w:tcPr>
          <w:p w:rsidR="000B1D73" w:rsidRPr="00E5797D" w:rsidRDefault="000B1D73" w:rsidP="001B26E9">
            <w:pPr>
              <w:pStyle w:val="aff1"/>
              <w:spacing w:before="0" w:beforeAutospacing="0" w:after="240" w:afterAutospacing="0"/>
              <w:ind w:right="210"/>
              <w:jc w:val="left"/>
              <w:rPr>
                <w:rFonts w:ascii="Times New Roman" w:hAnsi="Times New Roman" w:cs="Times New Roman"/>
                <w:sz w:val="24"/>
                <w:szCs w:val="24"/>
                <w:lang w:val="ru-RU" w:eastAsia="ru-RU"/>
              </w:rPr>
            </w:pPr>
            <w:r w:rsidRPr="00E5797D">
              <w:rPr>
                <w:rFonts w:ascii="Times New Roman" w:hAnsi="Times New Roman" w:cs="Times New Roman"/>
                <w:sz w:val="24"/>
                <w:szCs w:val="24"/>
                <w:lang w:val="ru-RU" w:eastAsia="ru-RU"/>
              </w:rPr>
              <w:t xml:space="preserve">Приказ </w:t>
            </w:r>
            <w:r w:rsidR="001B26E9" w:rsidRPr="00E5797D">
              <w:rPr>
                <w:rFonts w:ascii="Times New Roman" w:hAnsi="Times New Roman" w:cs="Times New Roman"/>
                <w:sz w:val="24"/>
                <w:szCs w:val="24"/>
                <w:lang w:val="ru-RU" w:eastAsia="ru-RU"/>
              </w:rPr>
              <w:t>Минздрава</w:t>
            </w:r>
            <w:r w:rsidRPr="00E5797D">
              <w:rPr>
                <w:rFonts w:ascii="Times New Roman" w:hAnsi="Times New Roman" w:cs="Times New Roman"/>
                <w:sz w:val="24"/>
                <w:szCs w:val="24"/>
                <w:lang w:val="ru-RU" w:eastAsia="ru-RU"/>
              </w:rPr>
              <w:t xml:space="preserve"> России от </w:t>
            </w:r>
            <w:r w:rsidR="001B26E9" w:rsidRPr="00E5797D">
              <w:rPr>
                <w:rFonts w:ascii="Times New Roman" w:hAnsi="Times New Roman" w:cs="Times New Roman"/>
                <w:sz w:val="24"/>
                <w:szCs w:val="24"/>
                <w:lang w:val="ru-RU" w:eastAsia="ru-RU"/>
              </w:rPr>
              <w:t>28</w:t>
            </w:r>
            <w:r w:rsidRPr="00E5797D">
              <w:rPr>
                <w:rFonts w:ascii="Times New Roman" w:hAnsi="Times New Roman" w:cs="Times New Roman"/>
                <w:sz w:val="24"/>
                <w:szCs w:val="24"/>
                <w:lang w:val="ru-RU" w:eastAsia="ru-RU"/>
              </w:rPr>
              <w:t>.02.201</w:t>
            </w:r>
            <w:r w:rsidR="001B26E9" w:rsidRPr="00E5797D">
              <w:rPr>
                <w:rFonts w:ascii="Times New Roman" w:hAnsi="Times New Roman" w:cs="Times New Roman"/>
                <w:sz w:val="24"/>
                <w:szCs w:val="24"/>
                <w:lang w:val="ru-RU" w:eastAsia="ru-RU"/>
              </w:rPr>
              <w:t>9</w:t>
            </w:r>
            <w:r w:rsidRPr="00E5797D">
              <w:rPr>
                <w:rFonts w:ascii="Times New Roman" w:hAnsi="Times New Roman" w:cs="Times New Roman"/>
                <w:sz w:val="24"/>
                <w:szCs w:val="24"/>
                <w:lang w:val="ru-RU" w:eastAsia="ru-RU"/>
              </w:rPr>
              <w:t xml:space="preserve"> № </w:t>
            </w:r>
            <w:r w:rsidR="001B26E9" w:rsidRPr="00E5797D">
              <w:rPr>
                <w:rFonts w:ascii="Times New Roman" w:hAnsi="Times New Roman" w:cs="Times New Roman"/>
                <w:sz w:val="24"/>
                <w:szCs w:val="24"/>
                <w:lang w:val="ru-RU" w:eastAsia="ru-RU"/>
              </w:rPr>
              <w:t>108</w:t>
            </w:r>
            <w:r w:rsidRPr="00E5797D">
              <w:rPr>
                <w:rFonts w:ascii="Times New Roman" w:hAnsi="Times New Roman" w:cs="Times New Roman"/>
                <w:sz w:val="24"/>
                <w:szCs w:val="24"/>
                <w:lang w:val="ru-RU" w:eastAsia="ru-RU"/>
              </w:rPr>
              <w:t>н «</w:t>
            </w:r>
            <w:r w:rsidR="001B26E9" w:rsidRPr="00E5797D">
              <w:rPr>
                <w:rFonts w:ascii="Times New Roman" w:hAnsi="Times New Roman" w:cs="Times New Roman"/>
                <w:sz w:val="24"/>
                <w:szCs w:val="24"/>
                <w:lang w:val="ru-RU" w:eastAsia="ru-RU"/>
              </w:rPr>
              <w:t>Об утверждении правил обязательного медицинского страхования</w:t>
            </w:r>
            <w:r w:rsidRPr="00E5797D">
              <w:rPr>
                <w:rFonts w:ascii="Times New Roman" w:hAnsi="Times New Roman" w:cs="Times New Roman"/>
                <w:sz w:val="24"/>
                <w:szCs w:val="24"/>
                <w:lang w:val="ru-RU" w:eastAsia="ru-RU"/>
              </w:rPr>
              <w:t>»</w:t>
            </w:r>
          </w:p>
        </w:tc>
        <w:tc>
          <w:tcPr>
            <w:tcW w:w="9639" w:type="dxa"/>
            <w:shd w:val="clear" w:color="auto" w:fill="FFFFFF" w:themeFill="background1"/>
          </w:tcPr>
          <w:p w:rsidR="000B1D73" w:rsidRPr="00E5797D" w:rsidRDefault="001B26E9" w:rsidP="001B26E9">
            <w:pPr>
              <w:ind w:firstLine="0"/>
              <w:rPr>
                <w:rFonts w:ascii="Verdana" w:hAnsi="Verdana"/>
                <w:color w:val="000000"/>
                <w:sz w:val="24"/>
                <w:szCs w:val="24"/>
              </w:rPr>
            </w:pPr>
            <w:proofErr w:type="gramStart"/>
            <w:r w:rsidRPr="00E5797D">
              <w:rPr>
                <w:color w:val="000000"/>
                <w:sz w:val="24"/>
                <w:szCs w:val="24"/>
              </w:rPr>
              <w:t xml:space="preserve">Правила устанавливают </w:t>
            </w:r>
            <w:hyperlink r:id="rId18" w:history="1">
              <w:r w:rsidRPr="00E5797D">
                <w:rPr>
                  <w:rStyle w:val="af1"/>
                  <w:color w:val="000000"/>
                  <w:sz w:val="24"/>
                  <w:szCs w:val="24"/>
                  <w:u w:val="none"/>
                </w:rPr>
                <w:t>порядок</w:t>
              </w:r>
            </w:hyperlink>
            <w:r w:rsidRPr="00E5797D">
              <w:rPr>
                <w:color w:val="000000"/>
                <w:sz w:val="24"/>
                <w:szCs w:val="24"/>
              </w:rP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r:id="rId19" w:history="1">
              <w:r w:rsidRPr="00E5797D">
                <w:rPr>
                  <w:rStyle w:val="af1"/>
                  <w:color w:val="000000"/>
                  <w:sz w:val="24"/>
                  <w:szCs w:val="24"/>
                  <w:u w:val="none"/>
                </w:rPr>
                <w:t>требования</w:t>
              </w:r>
            </w:hyperlink>
            <w:r w:rsidRPr="00E5797D">
              <w:rPr>
                <w:color w:val="000000"/>
                <w:sz w:val="24"/>
                <w:szCs w:val="24"/>
              </w:rPr>
              <w:t xml:space="preserve"> к полису обязательного медицинского страхования, </w:t>
            </w:r>
            <w:hyperlink r:id="rId20" w:history="1">
              <w:r w:rsidRPr="00E5797D">
                <w:rPr>
                  <w:rStyle w:val="af1"/>
                  <w:color w:val="000000"/>
                  <w:sz w:val="24"/>
                  <w:szCs w:val="24"/>
                  <w:u w:val="none"/>
                </w:rPr>
                <w:t>порядок</w:t>
              </w:r>
            </w:hyperlink>
            <w:r w:rsidRPr="00E5797D">
              <w:rPr>
                <w:color w:val="000000"/>
                <w:sz w:val="24"/>
                <w:szCs w:val="24"/>
              </w:rPr>
              <w:t xml:space="preserve"> выдачи полиса обязательного медицинского страхования либо временного свидетельства застрахованному лицу, </w:t>
            </w:r>
            <w:hyperlink r:id="rId21" w:history="1">
              <w:r w:rsidRPr="00E5797D">
                <w:rPr>
                  <w:rStyle w:val="af1"/>
                  <w:color w:val="000000"/>
                  <w:sz w:val="24"/>
                  <w:szCs w:val="24"/>
                  <w:u w:val="none"/>
                </w:rPr>
                <w:t>порядок</w:t>
              </w:r>
            </w:hyperlink>
            <w:r w:rsidRPr="00E5797D">
              <w:rPr>
                <w:color w:val="000000"/>
                <w:sz w:val="24"/>
                <w:szCs w:val="24"/>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r:id="rId22" w:history="1">
              <w:r w:rsidRPr="00E5797D">
                <w:rPr>
                  <w:rStyle w:val="af1"/>
                  <w:color w:val="000000"/>
                  <w:sz w:val="24"/>
                  <w:szCs w:val="24"/>
                  <w:u w:val="none"/>
                </w:rPr>
                <w:t>порядок</w:t>
              </w:r>
            </w:hyperlink>
            <w:r w:rsidRPr="00E5797D">
              <w:rPr>
                <w:color w:val="000000"/>
                <w:sz w:val="24"/>
                <w:szCs w:val="24"/>
              </w:rPr>
              <w:t xml:space="preserve"> ведения реестра страховых медицинских организаций</w:t>
            </w:r>
            <w:proofErr w:type="gramEnd"/>
            <w:r w:rsidRPr="00E5797D">
              <w:rPr>
                <w:color w:val="000000"/>
                <w:sz w:val="24"/>
                <w:szCs w:val="24"/>
              </w:rPr>
              <w:t xml:space="preserve">, осуществляющих деятельность в сфере обязательного медицинского страхования, </w:t>
            </w:r>
            <w:hyperlink r:id="rId23" w:history="1">
              <w:r w:rsidRPr="00E5797D">
                <w:rPr>
                  <w:rStyle w:val="af1"/>
                  <w:color w:val="000000"/>
                  <w:sz w:val="24"/>
                  <w:szCs w:val="24"/>
                  <w:u w:val="none"/>
                </w:rPr>
                <w:t>порядок</w:t>
              </w:r>
            </w:hyperlink>
            <w:r w:rsidRPr="00E5797D">
              <w:rPr>
                <w:color w:val="000000"/>
                <w:sz w:val="24"/>
                <w:szCs w:val="24"/>
              </w:rPr>
              <w:t xml:space="preserve"> ведения реестра медицинских </w:t>
            </w:r>
            <w:r w:rsidRPr="00E5797D">
              <w:rPr>
                <w:color w:val="000000"/>
                <w:sz w:val="24"/>
                <w:szCs w:val="24"/>
              </w:rPr>
              <w:lastRenderedPageBreak/>
              <w:t xml:space="preserve">организаций, осуществляющих деятельность в сфере обязательного медицинского страхования, </w:t>
            </w:r>
            <w:hyperlink r:id="rId24" w:history="1">
              <w:r w:rsidRPr="00E5797D">
                <w:rPr>
                  <w:rStyle w:val="af1"/>
                  <w:color w:val="000000"/>
                  <w:sz w:val="24"/>
                  <w:szCs w:val="24"/>
                  <w:u w:val="none"/>
                </w:rPr>
                <w:t>порядок</w:t>
              </w:r>
            </w:hyperlink>
            <w:r w:rsidRPr="00E5797D">
              <w:rPr>
                <w:color w:val="000000"/>
                <w:sz w:val="24"/>
                <w:szCs w:val="24"/>
              </w:rPr>
              <w:t xml:space="preserve"> направления территориальным фондом обязательного медицинского страхования сведений о принятом </w:t>
            </w:r>
            <w:proofErr w:type="gramStart"/>
            <w:r w:rsidRPr="00E5797D">
              <w:rPr>
                <w:color w:val="000000"/>
                <w:sz w:val="24"/>
                <w:szCs w:val="24"/>
              </w:rPr>
              <w:t>решении</w:t>
            </w:r>
            <w:proofErr w:type="gramEnd"/>
            <w:r w:rsidRPr="00E5797D">
              <w:rPr>
                <w:color w:val="000000"/>
                <w:sz w:val="24"/>
                <w:szCs w:val="24"/>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r:id="rId25" w:history="1">
              <w:r w:rsidRPr="00E5797D">
                <w:rPr>
                  <w:rStyle w:val="af1"/>
                  <w:color w:val="000000"/>
                  <w:sz w:val="24"/>
                  <w:szCs w:val="24"/>
                  <w:u w:val="none"/>
                </w:rPr>
                <w:t>порядок</w:t>
              </w:r>
            </w:hyperlink>
            <w:r w:rsidRPr="00E5797D">
              <w:rPr>
                <w:color w:val="000000"/>
                <w:sz w:val="24"/>
                <w:szCs w:val="24"/>
              </w:rPr>
              <w:t xml:space="preserve"> оплаты медицинской помощи по обязательному медицинскому страхованию, </w:t>
            </w:r>
            <w:hyperlink r:id="rId26" w:history="1">
              <w:r w:rsidRPr="00E5797D">
                <w:rPr>
                  <w:rStyle w:val="af1"/>
                  <w:color w:val="000000"/>
                  <w:sz w:val="24"/>
                  <w:szCs w:val="24"/>
                  <w:u w:val="none"/>
                </w:rPr>
                <w:t>порядок</w:t>
              </w:r>
            </w:hyperlink>
            <w:r w:rsidRPr="00E5797D">
              <w:rPr>
                <w:color w:val="000000"/>
                <w:sz w:val="24"/>
                <w:szCs w:val="24"/>
              </w:rPr>
              <w:t xml:space="preserve"> осуществления расчетов за медицинскую помощь, </w:t>
            </w:r>
            <w:proofErr w:type="gramStart"/>
            <w:r w:rsidRPr="00E5797D">
              <w:rPr>
                <w:color w:val="000000"/>
                <w:sz w:val="24"/>
                <w:szCs w:val="24"/>
              </w:rPr>
              <w:t xml:space="preserve">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r:id="rId27" w:history="1">
              <w:r w:rsidRPr="00E5797D">
                <w:rPr>
                  <w:rStyle w:val="af1"/>
                  <w:color w:val="000000"/>
                  <w:sz w:val="24"/>
                  <w:szCs w:val="24"/>
                  <w:u w:val="none"/>
                </w:rPr>
                <w:t>порядок</w:t>
              </w:r>
            </w:hyperlink>
            <w:r w:rsidRPr="00E5797D">
              <w:rPr>
                <w:color w:val="000000"/>
                <w:sz w:val="24"/>
                <w:szCs w:val="24"/>
              </w:rPr>
              <w:t xml:space="preserve"> утверждения для страховых медицинских организаций дифференцированных </w:t>
            </w:r>
            <w:proofErr w:type="spellStart"/>
            <w:r w:rsidRPr="00E5797D">
              <w:rPr>
                <w:color w:val="000000"/>
                <w:sz w:val="24"/>
                <w:szCs w:val="24"/>
              </w:rPr>
              <w:t>подушевых</w:t>
            </w:r>
            <w:proofErr w:type="spellEnd"/>
            <w:r w:rsidRPr="00E5797D">
              <w:rPr>
                <w:color w:val="000000"/>
                <w:sz w:val="24"/>
                <w:szCs w:val="24"/>
              </w:rPr>
              <w:t xml:space="preserve"> нормативов финансового обеспечения обязательного медицинского страхования, </w:t>
            </w:r>
            <w:hyperlink r:id="rId28" w:history="1">
              <w:r w:rsidRPr="00E5797D">
                <w:rPr>
                  <w:rStyle w:val="af1"/>
                  <w:color w:val="000000"/>
                  <w:sz w:val="24"/>
                  <w:szCs w:val="24"/>
                  <w:u w:val="none"/>
                </w:rPr>
                <w:t>методику</w:t>
              </w:r>
            </w:hyperlink>
            <w:r w:rsidRPr="00E5797D">
              <w:rPr>
                <w:color w:val="000000"/>
                <w:sz w:val="24"/>
                <w:szCs w:val="24"/>
              </w:rPr>
              <w:t xml:space="preserve"> расчета тарифов на оплату медицинской помощи по обязательному медицинскому страхованию, </w:t>
            </w:r>
            <w:hyperlink r:id="rId29" w:history="1">
              <w:r w:rsidRPr="00E5797D">
                <w:rPr>
                  <w:rStyle w:val="af1"/>
                  <w:color w:val="000000"/>
                  <w:sz w:val="24"/>
                  <w:szCs w:val="24"/>
                  <w:u w:val="none"/>
                </w:rPr>
                <w:t>порядок</w:t>
              </w:r>
            </w:hyperlink>
            <w:r w:rsidRPr="00E5797D">
              <w:rPr>
                <w:color w:val="000000"/>
                <w:sz w:val="24"/>
                <w:szCs w:val="24"/>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w:t>
            </w:r>
            <w:proofErr w:type="gramEnd"/>
            <w:r w:rsidRPr="00E5797D">
              <w:rPr>
                <w:color w:val="000000"/>
                <w:sz w:val="24"/>
                <w:szCs w:val="24"/>
              </w:rPr>
              <w:t xml:space="preserve">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r:id="rId30" w:history="1">
              <w:r w:rsidRPr="00E5797D">
                <w:rPr>
                  <w:rStyle w:val="af1"/>
                  <w:color w:val="000000"/>
                  <w:sz w:val="24"/>
                  <w:szCs w:val="24"/>
                  <w:u w:val="none"/>
                </w:rPr>
                <w:t>требования</w:t>
              </w:r>
            </w:hyperlink>
            <w:r w:rsidRPr="00E5797D">
              <w:rPr>
                <w:color w:val="000000"/>
                <w:sz w:val="24"/>
                <w:szCs w:val="24"/>
              </w:rPr>
              <w:t xml:space="preserve"> к размещению страховыми медицинскими организациями информации, </w:t>
            </w:r>
            <w:hyperlink r:id="rId31" w:history="1">
              <w:r w:rsidRPr="00E5797D">
                <w:rPr>
                  <w:rStyle w:val="af1"/>
                  <w:color w:val="000000"/>
                  <w:sz w:val="24"/>
                  <w:szCs w:val="24"/>
                  <w:u w:val="none"/>
                </w:rPr>
                <w:t>порядок</w:t>
              </w:r>
            </w:hyperlink>
            <w:r w:rsidRPr="00E5797D">
              <w:rPr>
                <w:color w:val="000000"/>
                <w:sz w:val="24"/>
                <w:szCs w:val="24"/>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 xml:space="preserve">Приказ </w:t>
            </w:r>
            <w:proofErr w:type="spellStart"/>
            <w:r w:rsidRPr="001D5FA8">
              <w:rPr>
                <w:rFonts w:ascii="Times New Roman" w:hAnsi="Times New Roman" w:cs="Times New Roman"/>
                <w:sz w:val="24"/>
                <w:szCs w:val="24"/>
                <w:lang w:val="ru-RU" w:eastAsia="ru-RU"/>
              </w:rPr>
              <w:t>Минздравсоцразвития</w:t>
            </w:r>
            <w:proofErr w:type="spellEnd"/>
            <w:r w:rsidRPr="001D5FA8">
              <w:rPr>
                <w:rFonts w:ascii="Times New Roman" w:hAnsi="Times New Roman" w:cs="Times New Roman"/>
                <w:sz w:val="24"/>
                <w:szCs w:val="24"/>
                <w:lang w:val="ru-RU" w:eastAsia="ru-RU"/>
              </w:rPr>
              <w:t xml:space="preserve"> РФ от 01.02.2011 № 72н «О порядке расходования средств, перечисленных медицинским организациям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диспансерному (профилактическому) наблюдению ребенка в течение первого </w:t>
            </w:r>
            <w:r w:rsidRPr="001D5FA8">
              <w:rPr>
                <w:rFonts w:ascii="Times New Roman" w:hAnsi="Times New Roman" w:cs="Times New Roman"/>
                <w:sz w:val="24"/>
                <w:szCs w:val="24"/>
                <w:lang w:val="ru-RU" w:eastAsia="ru-RU"/>
              </w:rPr>
              <w:lastRenderedPageBreak/>
              <w:t>года жизни»</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lastRenderedPageBreak/>
              <w:t>Порядок устанавливает правила расходования средств, перечисленных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на оплату услуг по медицинской помощи, оказанной женщинам в период беременности, и медицинской помощи, оказанной женщинам и новорожденным</w:t>
            </w:r>
            <w:proofErr w:type="gramEnd"/>
            <w:r w:rsidRPr="001D5FA8">
              <w:rPr>
                <w:rFonts w:ascii="Times New Roman" w:hAnsi="Times New Roman" w:cs="Times New Roman"/>
                <w:sz w:val="24"/>
                <w:szCs w:val="24"/>
                <w:lang w:val="ru-RU" w:eastAsia="ru-RU"/>
              </w:rPr>
              <w:t xml:space="preserve"> в период родов и в послеродовой период, а также диспансерному (профилактическому) наблюдению детей, поставленных в течение первого года жизни в возрасте до 3 месяцев на диспансерный учет</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 xml:space="preserve">Приказ </w:t>
            </w:r>
            <w:proofErr w:type="spellStart"/>
            <w:r w:rsidRPr="001D5FA8">
              <w:rPr>
                <w:rFonts w:ascii="Times New Roman" w:hAnsi="Times New Roman" w:cs="Times New Roman"/>
                <w:sz w:val="24"/>
                <w:szCs w:val="24"/>
                <w:lang w:val="ru-RU" w:eastAsia="ru-RU"/>
              </w:rPr>
              <w:t>Минздравсоцразвития</w:t>
            </w:r>
            <w:proofErr w:type="spellEnd"/>
            <w:r w:rsidRPr="001D5FA8">
              <w:rPr>
                <w:rFonts w:ascii="Times New Roman" w:hAnsi="Times New Roman" w:cs="Times New Roman"/>
                <w:sz w:val="24"/>
                <w:szCs w:val="24"/>
                <w:lang w:val="ru-RU" w:eastAsia="ru-RU"/>
              </w:rPr>
              <w:t xml:space="preserve"> РФ от 28.11.2005 № 701 «О родовом сертификате»</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Утверждены: форма родового сертификата; Инструкция по заполнению родового сертификата; Порядок обеспечения родовыми сертификатами государственных и муниципальных учреждений здравоохранения, их учета и хранения</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Приказ Минфина России от 28.07.2010 №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Утверждены Общие требования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Приказ Минздрава СССР от 11.02.1972 № 107 «Об утверждении Инструкции о порядке использования и учета стоматологическими учреждениями драгоценных металлов для зубного протезирования»</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Стоматологические поликлиники обеспечивают хранение и использование драгоценных металлов для зубного протезирования в соответствии с требованиями Инструкции о порядке использования и учета стоматологическими учреждениями драгоценных металлов для зубного протезирования</w:t>
            </w:r>
          </w:p>
        </w:tc>
      </w:tr>
      <w:tr w:rsidR="000B1D73" w:rsidRPr="001D5FA8" w:rsidTr="001D5FA8">
        <w:tc>
          <w:tcPr>
            <w:tcW w:w="14601" w:type="dxa"/>
            <w:gridSpan w:val="2"/>
            <w:shd w:val="clear" w:color="auto" w:fill="FFFFFF" w:themeFill="background1"/>
          </w:tcPr>
          <w:p w:rsidR="000B1D73" w:rsidRPr="001D5FA8" w:rsidRDefault="000B1D73" w:rsidP="001D5FA8">
            <w:pPr>
              <w:autoSpaceDE w:val="0"/>
              <w:autoSpaceDN w:val="0"/>
              <w:adjustRightInd w:val="0"/>
              <w:spacing w:after="240"/>
              <w:ind w:right="210" w:firstLine="0"/>
              <w:jc w:val="left"/>
              <w:rPr>
                <w:b/>
                <w:sz w:val="24"/>
                <w:szCs w:val="24"/>
              </w:rPr>
            </w:pPr>
            <w:r w:rsidRPr="001D5FA8">
              <w:rPr>
                <w:b/>
                <w:sz w:val="24"/>
                <w:szCs w:val="24"/>
              </w:rPr>
              <w:t>Нормативные акты, регламентирующие учет расчетов по НДС</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Утверждены формы и правила заполнения счета-фактуры, формы и правила ведения журнала учета полученных и выставленных счетов-фактур, формы и правила ведения книги покупок и книги продаж</w:t>
            </w:r>
          </w:p>
        </w:tc>
      </w:tr>
      <w:tr w:rsidR="000B1D73" w:rsidRPr="001D5FA8" w:rsidTr="001D5FA8">
        <w:tc>
          <w:tcPr>
            <w:tcW w:w="14601" w:type="dxa"/>
            <w:gridSpan w:val="2"/>
            <w:shd w:val="clear" w:color="auto" w:fill="FFFFFF" w:themeFill="background1"/>
          </w:tcPr>
          <w:p w:rsidR="000B1D73" w:rsidRPr="001D5FA8" w:rsidRDefault="000B1D73" w:rsidP="001D5FA8">
            <w:pPr>
              <w:autoSpaceDE w:val="0"/>
              <w:autoSpaceDN w:val="0"/>
              <w:adjustRightInd w:val="0"/>
              <w:spacing w:after="240"/>
              <w:ind w:right="210" w:firstLine="0"/>
              <w:jc w:val="left"/>
              <w:rPr>
                <w:b/>
                <w:sz w:val="24"/>
                <w:szCs w:val="24"/>
              </w:rPr>
            </w:pPr>
            <w:r w:rsidRPr="001D5FA8">
              <w:rPr>
                <w:b/>
                <w:sz w:val="24"/>
                <w:szCs w:val="24"/>
              </w:rPr>
              <w:t xml:space="preserve">Нормативные акты, регламентирующие организацию работы по оказанию платных услуг и иной приносящей доход </w:t>
            </w:r>
            <w:r w:rsidRPr="001D5FA8">
              <w:rPr>
                <w:b/>
                <w:sz w:val="24"/>
                <w:szCs w:val="24"/>
              </w:rPr>
              <w:lastRenderedPageBreak/>
              <w:t xml:space="preserve">деятельности </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Федеральный закон от 07.02.1992 № 2300 – 1 «О защите прав потребителей» (в ред. 18.07.2011 г.)</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w:t>
            </w:r>
            <w:proofErr w:type="gramEnd"/>
            <w:r w:rsidRPr="001D5FA8">
              <w:rPr>
                <w:rFonts w:ascii="Times New Roman" w:hAnsi="Times New Roman" w:cs="Times New Roman"/>
                <w:sz w:val="24"/>
                <w:szCs w:val="24"/>
                <w:lang w:val="ru-RU" w:eastAsia="ru-RU"/>
              </w:rPr>
              <w:t xml:space="preserve"> механизм реализации этих прав.</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Постановление Правительства РФ от 04.10.2012 № 1006 «Об утверждении Правил предоставления медицинскими организациями платных медицинских услуг»</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Правила определяют порядок и условия предоставления медицинскими организациями гражданам платных медицинских услуг</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Приказ Департамента экономической политики и развития города Москвы и Департамента финансов города Москвы от 05.09.2011 № 123-ПР/264 «Об утверждении Методических рекомендаций по установлению порядка определения платы за оказание государственными бюджетными учреждениями города Москвы гражданам и юридическим лицам за плату государственных услуг (выполнение работ), относящихся к их основным видам деятельности»</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1D5FA8">
              <w:rPr>
                <w:rFonts w:ascii="Times New Roman" w:hAnsi="Times New Roman" w:cs="Times New Roman"/>
                <w:sz w:val="24"/>
                <w:szCs w:val="24"/>
                <w:lang w:val="ru-RU" w:eastAsia="ru-RU"/>
              </w:rPr>
              <w:t>Методические рекомендации разработаны в целях установления единого механизма формирования цен за оказание государственными бюджетными учреждениями города Москвы гражданам и юридическим лицам за плату государственных услуг (выполнение работ), относящихся к их основным видам деятельности,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roofErr w:type="gramEnd"/>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 xml:space="preserve">Приказ Департамента здравоохранения города Москвы от 08.02.2013 № 98 «О порядке размещения в нежилых помещениях, закрепленных на праве оперативного управления за </w:t>
            </w:r>
            <w:r w:rsidRPr="001D5FA8">
              <w:rPr>
                <w:rFonts w:ascii="Times New Roman" w:hAnsi="Times New Roman" w:cs="Times New Roman"/>
                <w:sz w:val="24"/>
                <w:szCs w:val="24"/>
                <w:lang w:val="ru-RU" w:eastAsia="ru-RU"/>
              </w:rPr>
              <w:lastRenderedPageBreak/>
              <w:t>государственными учреждениями здравоохранения города Москвы, платежных терминалов/банкоматов и автоматов по продаже товаров и услуг»</w:t>
            </w:r>
          </w:p>
        </w:tc>
        <w:tc>
          <w:tcPr>
            <w:tcW w:w="9639"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Рекомендации по размещению платежных терминалов/банкоматов и автоматов по продаже товаров и услуг,</w:t>
            </w:r>
          </w:p>
        </w:tc>
      </w:tr>
      <w:tr w:rsidR="000B1D73" w:rsidRPr="001D5FA8" w:rsidTr="001D5FA8">
        <w:tc>
          <w:tcPr>
            <w:tcW w:w="4962" w:type="dxa"/>
            <w:shd w:val="clear" w:color="auto" w:fill="FFFFFF" w:themeFill="background1"/>
          </w:tcPr>
          <w:p w:rsidR="000B1D73" w:rsidRPr="001D5FA8"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lastRenderedPageBreak/>
              <w:t xml:space="preserve">Распоряжение Департамента здравоохранения города Москвы от 13.12.2010 № 2003-р «Об утверждении </w:t>
            </w:r>
            <w:proofErr w:type="gramStart"/>
            <w:r w:rsidRPr="001D5FA8">
              <w:rPr>
                <w:rFonts w:ascii="Times New Roman" w:hAnsi="Times New Roman" w:cs="Times New Roman"/>
                <w:sz w:val="24"/>
                <w:szCs w:val="24"/>
                <w:lang w:val="ru-RU" w:eastAsia="ru-RU"/>
              </w:rPr>
              <w:t>Перечня видов внебюджетной деятельности учреждений Департамента здравоохранения города</w:t>
            </w:r>
            <w:proofErr w:type="gramEnd"/>
            <w:r w:rsidRPr="001D5FA8">
              <w:rPr>
                <w:rFonts w:ascii="Times New Roman" w:hAnsi="Times New Roman" w:cs="Times New Roman"/>
                <w:sz w:val="24"/>
                <w:szCs w:val="24"/>
                <w:lang w:val="ru-RU" w:eastAsia="ru-RU"/>
              </w:rPr>
              <w:t xml:space="preserve"> Москвы, по которым поступают доходы от предпринимательской и иной приносящей доход деятельности»</w:t>
            </w:r>
          </w:p>
        </w:tc>
        <w:tc>
          <w:tcPr>
            <w:tcW w:w="9639" w:type="dxa"/>
            <w:shd w:val="clear" w:color="auto" w:fill="FFFFFF" w:themeFill="background1"/>
          </w:tcPr>
          <w:p w:rsidR="000B1D73" w:rsidRPr="001D5FA8" w:rsidRDefault="000B1D73" w:rsidP="001D5FA8">
            <w:pPr>
              <w:pStyle w:val="aff1"/>
              <w:spacing w:before="0" w:beforeAutospacing="0" w:after="240" w:afterAutospacing="0"/>
              <w:ind w:left="283"/>
              <w:jc w:val="left"/>
              <w:rPr>
                <w:rFonts w:ascii="Times New Roman" w:hAnsi="Times New Roman" w:cs="Times New Roman"/>
                <w:sz w:val="24"/>
                <w:szCs w:val="24"/>
                <w:lang w:val="ru-RU" w:eastAsia="ru-RU"/>
              </w:rPr>
            </w:pPr>
            <w:r w:rsidRPr="001D5FA8">
              <w:rPr>
                <w:rFonts w:ascii="Times New Roman" w:hAnsi="Times New Roman" w:cs="Times New Roman"/>
                <w:sz w:val="24"/>
                <w:szCs w:val="24"/>
                <w:lang w:val="ru-RU" w:eastAsia="ru-RU"/>
              </w:rPr>
              <w:t xml:space="preserve">Утвержден Перечень </w:t>
            </w:r>
            <w:proofErr w:type="gramStart"/>
            <w:r w:rsidRPr="001D5FA8">
              <w:rPr>
                <w:rFonts w:ascii="Times New Roman" w:hAnsi="Times New Roman" w:cs="Times New Roman"/>
                <w:sz w:val="24"/>
                <w:szCs w:val="24"/>
                <w:lang w:val="ru-RU" w:eastAsia="ru-RU"/>
              </w:rPr>
              <w:t>видов внебюджетной деятельности учреждений Департамента здравоохранения города</w:t>
            </w:r>
            <w:proofErr w:type="gramEnd"/>
            <w:r w:rsidRPr="001D5FA8">
              <w:rPr>
                <w:rFonts w:ascii="Times New Roman" w:hAnsi="Times New Roman" w:cs="Times New Roman"/>
                <w:sz w:val="24"/>
                <w:szCs w:val="24"/>
                <w:lang w:val="ru-RU" w:eastAsia="ru-RU"/>
              </w:rPr>
              <w:t xml:space="preserve"> Москвы, по которым поступают доходы от предпринимательской и иной приносящей доход деятельности.</w:t>
            </w:r>
          </w:p>
        </w:tc>
      </w:tr>
      <w:tr w:rsidR="000B1D73" w:rsidRPr="001D5FA8" w:rsidTr="001D5FA8">
        <w:tc>
          <w:tcPr>
            <w:tcW w:w="14601" w:type="dxa"/>
            <w:gridSpan w:val="2"/>
            <w:shd w:val="clear" w:color="auto" w:fill="FFFFFF" w:themeFill="background1"/>
          </w:tcPr>
          <w:p w:rsidR="000B1D73" w:rsidRPr="001D5FA8" w:rsidRDefault="000B1D73" w:rsidP="001D5FA8">
            <w:pPr>
              <w:autoSpaceDE w:val="0"/>
              <w:autoSpaceDN w:val="0"/>
              <w:adjustRightInd w:val="0"/>
              <w:spacing w:after="240"/>
              <w:ind w:right="210" w:firstLine="0"/>
              <w:jc w:val="left"/>
              <w:rPr>
                <w:b/>
                <w:sz w:val="24"/>
                <w:szCs w:val="24"/>
              </w:rPr>
            </w:pPr>
            <w:r w:rsidRPr="001D5FA8">
              <w:rPr>
                <w:b/>
                <w:sz w:val="24"/>
                <w:szCs w:val="24"/>
              </w:rPr>
              <w:t>Нормативные акты, регламентирующие санкционирование доходов и расходов</w:t>
            </w:r>
          </w:p>
        </w:tc>
      </w:tr>
      <w:tr w:rsidR="000B1D73" w:rsidRPr="001D5FA8" w:rsidTr="001D5FA8">
        <w:tc>
          <w:tcPr>
            <w:tcW w:w="4962" w:type="dxa"/>
            <w:shd w:val="clear" w:color="auto" w:fill="FFFFFF" w:themeFill="background1"/>
          </w:tcPr>
          <w:p w:rsidR="000B1D73" w:rsidRPr="00E5797D" w:rsidRDefault="000B1D73" w:rsidP="005266F2">
            <w:pPr>
              <w:pStyle w:val="aff1"/>
              <w:spacing w:before="0" w:beforeAutospacing="0" w:after="240" w:afterAutospacing="0"/>
              <w:ind w:right="210"/>
              <w:jc w:val="left"/>
              <w:rPr>
                <w:rFonts w:ascii="Times New Roman" w:hAnsi="Times New Roman" w:cs="Times New Roman"/>
                <w:sz w:val="24"/>
                <w:szCs w:val="24"/>
                <w:lang w:val="ru-RU" w:eastAsia="ru-RU"/>
              </w:rPr>
            </w:pPr>
            <w:proofErr w:type="gramStart"/>
            <w:r w:rsidRPr="00E5797D">
              <w:rPr>
                <w:rFonts w:ascii="Times New Roman" w:hAnsi="Times New Roman" w:cs="Times New Roman"/>
                <w:sz w:val="24"/>
                <w:szCs w:val="24"/>
                <w:lang w:val="ru-RU" w:eastAsia="ru-RU"/>
              </w:rPr>
              <w:t xml:space="preserve">Приказ Департамента финансов города Москвы от </w:t>
            </w:r>
            <w:r w:rsidR="005266F2" w:rsidRPr="00E5797D">
              <w:rPr>
                <w:rFonts w:ascii="Times New Roman" w:hAnsi="Times New Roman" w:cs="Times New Roman"/>
                <w:sz w:val="24"/>
                <w:szCs w:val="24"/>
                <w:lang w:val="ru-RU" w:eastAsia="ru-RU"/>
              </w:rPr>
              <w:t>24</w:t>
            </w:r>
            <w:r w:rsidRPr="00E5797D">
              <w:rPr>
                <w:rFonts w:ascii="Times New Roman" w:hAnsi="Times New Roman" w:cs="Times New Roman"/>
                <w:sz w:val="24"/>
                <w:szCs w:val="24"/>
                <w:lang w:val="ru-RU" w:eastAsia="ru-RU"/>
              </w:rPr>
              <w:t>.</w:t>
            </w:r>
            <w:r w:rsidR="005266F2" w:rsidRPr="00E5797D">
              <w:rPr>
                <w:rFonts w:ascii="Times New Roman" w:hAnsi="Times New Roman" w:cs="Times New Roman"/>
                <w:sz w:val="24"/>
                <w:szCs w:val="24"/>
                <w:lang w:val="ru-RU" w:eastAsia="ru-RU"/>
              </w:rPr>
              <w:t>11</w:t>
            </w:r>
            <w:r w:rsidRPr="00E5797D">
              <w:rPr>
                <w:rFonts w:ascii="Times New Roman" w:hAnsi="Times New Roman" w:cs="Times New Roman"/>
                <w:sz w:val="24"/>
                <w:szCs w:val="24"/>
                <w:lang w:val="ru-RU" w:eastAsia="ru-RU"/>
              </w:rPr>
              <w:t>.201</w:t>
            </w:r>
            <w:r w:rsidR="005266F2" w:rsidRPr="00E5797D">
              <w:rPr>
                <w:rFonts w:ascii="Times New Roman" w:hAnsi="Times New Roman" w:cs="Times New Roman"/>
                <w:sz w:val="24"/>
                <w:szCs w:val="24"/>
                <w:lang w:val="ru-RU" w:eastAsia="ru-RU"/>
              </w:rPr>
              <w:t>4</w:t>
            </w:r>
            <w:r w:rsidRPr="00E5797D">
              <w:rPr>
                <w:rFonts w:ascii="Times New Roman" w:hAnsi="Times New Roman" w:cs="Times New Roman"/>
                <w:sz w:val="24"/>
                <w:szCs w:val="24"/>
                <w:lang w:val="ru-RU" w:eastAsia="ru-RU"/>
              </w:rPr>
              <w:t xml:space="preserve"> № </w:t>
            </w:r>
            <w:r w:rsidR="005266F2" w:rsidRPr="00E5797D">
              <w:rPr>
                <w:rFonts w:ascii="Times New Roman" w:hAnsi="Times New Roman" w:cs="Times New Roman"/>
                <w:sz w:val="24"/>
                <w:szCs w:val="24"/>
                <w:lang w:val="ru-RU" w:eastAsia="ru-RU"/>
              </w:rPr>
              <w:t>194</w:t>
            </w:r>
            <w:r w:rsidRPr="00E5797D">
              <w:rPr>
                <w:rFonts w:ascii="Times New Roman" w:hAnsi="Times New Roman" w:cs="Times New Roman"/>
                <w:sz w:val="24"/>
                <w:szCs w:val="24"/>
                <w:lang w:val="ru-RU" w:eastAsia="ru-RU"/>
              </w:rPr>
              <w:t xml:space="preserve"> «</w:t>
            </w:r>
            <w:r w:rsidR="005266F2" w:rsidRPr="00E5797D">
              <w:rPr>
                <w:rFonts w:ascii="Times New Roman" w:hAnsi="Times New Roman" w:cs="Times New Roman"/>
                <w:sz w:val="24"/>
                <w:szCs w:val="24"/>
                <w:lang w:val="ru-RU" w:eastAsia="ru-RU"/>
              </w:rPr>
              <w:t>О санкционировании расходов государственных учреждений и государственных унитарных предприятий города Москвы, источником финансового обеспечения которых являются субсидии, предоставленные из бюджета города Москвы в соответствии с абзацем вторым пункта 1 статьи 78.1 и пунктом 1 статьи 78.2 Бюджетного Кодекса Российской Федерации, и взыскании неиспользованных остатков субсидий»</w:t>
            </w:r>
            <w:r w:rsidRPr="00E5797D">
              <w:rPr>
                <w:rFonts w:ascii="Times New Roman" w:hAnsi="Times New Roman" w:cs="Times New Roman"/>
                <w:sz w:val="24"/>
                <w:szCs w:val="24"/>
                <w:lang w:val="ru-RU" w:eastAsia="ru-RU"/>
              </w:rPr>
              <w:t>»</w:t>
            </w:r>
            <w:proofErr w:type="gramEnd"/>
          </w:p>
        </w:tc>
        <w:tc>
          <w:tcPr>
            <w:tcW w:w="9639" w:type="dxa"/>
            <w:shd w:val="clear" w:color="auto" w:fill="FFFFFF" w:themeFill="background1"/>
          </w:tcPr>
          <w:p w:rsidR="005266F2" w:rsidRPr="00E5797D" w:rsidRDefault="005266F2" w:rsidP="005266F2">
            <w:pPr>
              <w:ind w:firstLine="0"/>
              <w:rPr>
                <w:rFonts w:ascii="Verdana" w:hAnsi="Verdana"/>
                <w:color w:val="000000"/>
                <w:sz w:val="24"/>
                <w:szCs w:val="24"/>
              </w:rPr>
            </w:pPr>
            <w:proofErr w:type="gramStart"/>
            <w:r w:rsidRPr="00E5797D">
              <w:rPr>
                <w:color w:val="000000"/>
                <w:sz w:val="24"/>
                <w:szCs w:val="24"/>
              </w:rPr>
              <w:t xml:space="preserve">Устанавливает порядок санкционирования Департаментом финансов города Москвы оплаты денежных обязательств бюджетных и автономных учреждений города Москвы, государственных унитарных предприятий города Москвы, источником финансового обеспечения которых являются субсидии, предоставленные из бюджета города Москвы в соответствии с </w:t>
            </w:r>
            <w:hyperlink r:id="rId32" w:history="1">
              <w:r w:rsidRPr="00E5797D">
                <w:rPr>
                  <w:rStyle w:val="af1"/>
                  <w:color w:val="000000"/>
                  <w:sz w:val="24"/>
                  <w:szCs w:val="24"/>
                  <w:u w:val="none"/>
                </w:rPr>
                <w:t>абзацем вторым пункта 1 статьи 78.1</w:t>
              </w:r>
            </w:hyperlink>
            <w:r w:rsidRPr="00E5797D">
              <w:rPr>
                <w:color w:val="000000"/>
                <w:sz w:val="24"/>
                <w:szCs w:val="24"/>
              </w:rPr>
              <w:t xml:space="preserve"> и </w:t>
            </w:r>
            <w:hyperlink r:id="rId33" w:history="1">
              <w:r w:rsidRPr="00E5797D">
                <w:rPr>
                  <w:rStyle w:val="af1"/>
                  <w:color w:val="000000"/>
                  <w:sz w:val="24"/>
                  <w:szCs w:val="24"/>
                  <w:u w:val="none"/>
                </w:rPr>
                <w:t>пунктом 1 статьи 78.2</w:t>
              </w:r>
            </w:hyperlink>
            <w:r w:rsidRPr="00E5797D">
              <w:rPr>
                <w:color w:val="000000"/>
                <w:sz w:val="24"/>
                <w:szCs w:val="24"/>
              </w:rPr>
              <w:t xml:space="preserve"> Бюджетного кодекса Российской Федерации, и порядок взыскания неиспользованных остатков целевых субсидий.</w:t>
            </w:r>
            <w:proofErr w:type="gramEnd"/>
          </w:p>
          <w:p w:rsidR="000B1D73" w:rsidRPr="00E5797D" w:rsidRDefault="000B1D73" w:rsidP="001D5FA8">
            <w:pPr>
              <w:pStyle w:val="aff1"/>
              <w:spacing w:before="0" w:beforeAutospacing="0" w:after="240" w:afterAutospacing="0"/>
              <w:ind w:right="210"/>
              <w:jc w:val="left"/>
              <w:rPr>
                <w:rFonts w:ascii="Times New Roman" w:hAnsi="Times New Roman" w:cs="Times New Roman"/>
                <w:sz w:val="24"/>
                <w:szCs w:val="24"/>
                <w:lang w:val="ru-RU" w:eastAsia="ru-RU"/>
              </w:rPr>
            </w:pPr>
          </w:p>
        </w:tc>
      </w:tr>
    </w:tbl>
    <w:p w:rsidR="00456DED" w:rsidRPr="00DB4D1E" w:rsidRDefault="00456DED">
      <w:pPr>
        <w:rPr>
          <w:sz w:val="24"/>
          <w:szCs w:val="24"/>
        </w:rPr>
      </w:pPr>
    </w:p>
    <w:sectPr w:rsidR="00456DED" w:rsidRPr="00DB4D1E" w:rsidSect="00BE0741">
      <w:footerReference w:type="default" r:id="rId34"/>
      <w:footerReference w:type="first" r:id="rId35"/>
      <w:pgSz w:w="16838" w:h="11906" w:orient="landscape"/>
      <w:pgMar w:top="1701" w:right="1134" w:bottom="850" w:left="1134" w:header="708" w:footer="708" w:gutter="0"/>
      <w:pgNumType w:start="6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5B" w:rsidRDefault="0066575B" w:rsidP="00D13772">
      <w:r>
        <w:separator/>
      </w:r>
    </w:p>
  </w:endnote>
  <w:endnote w:type="continuationSeparator" w:id="0">
    <w:p w:rsidR="0066575B" w:rsidRDefault="0066575B" w:rsidP="00D13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41" w:rsidRDefault="00BE0741">
    <w:pPr>
      <w:pStyle w:val="a3"/>
      <w:jc w:val="right"/>
    </w:pPr>
  </w:p>
  <w:p w:rsidR="00BE0741" w:rsidRDefault="00BE074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41" w:rsidRDefault="00BE0741">
    <w:pPr>
      <w:pStyle w:val="a3"/>
      <w:jc w:val="right"/>
    </w:pPr>
  </w:p>
  <w:p w:rsidR="00BE0741" w:rsidRDefault="00BE07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5B" w:rsidRDefault="0066575B" w:rsidP="00D13772">
      <w:r>
        <w:separator/>
      </w:r>
    </w:p>
  </w:footnote>
  <w:footnote w:type="continuationSeparator" w:id="0">
    <w:p w:rsidR="0066575B" w:rsidRDefault="0066575B" w:rsidP="00D13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8"/>
    <w:lvl w:ilvl="0">
      <w:start w:val="1"/>
      <w:numFmt w:val="bullet"/>
      <w:lvlText w:val="−"/>
      <w:lvlJc w:val="left"/>
      <w:pPr>
        <w:tabs>
          <w:tab w:val="num" w:pos="0"/>
        </w:tabs>
        <w:ind w:left="1647" w:hanging="360"/>
      </w:pPr>
      <w:rPr>
        <w:rFonts w:ascii="Calibri" w:hAnsi="Calibri"/>
        <w:sz w:val="24"/>
        <w:szCs w:val="24"/>
      </w:rPr>
    </w:lvl>
  </w:abstractNum>
  <w:abstractNum w:abstractNumId="1">
    <w:nsid w:val="013156D9"/>
    <w:multiLevelType w:val="multilevel"/>
    <w:tmpl w:val="6FB6F41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364"/>
        </w:tabs>
        <w:ind w:left="1364"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BB0BD6"/>
    <w:multiLevelType w:val="hybridMultilevel"/>
    <w:tmpl w:val="6ABE8400"/>
    <w:lvl w:ilvl="0" w:tplc="E4EA61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B6AA5"/>
    <w:multiLevelType w:val="hybridMultilevel"/>
    <w:tmpl w:val="A2B20746"/>
    <w:lvl w:ilvl="0" w:tplc="90B8519A">
      <w:start w:val="1"/>
      <w:numFmt w:val="bullet"/>
      <w:lvlText w:val=""/>
      <w:lvlJc w:val="left"/>
      <w:pPr>
        <w:tabs>
          <w:tab w:val="num" w:pos="987"/>
        </w:tabs>
        <w:ind w:left="987" w:hanging="567"/>
      </w:pPr>
      <w:rPr>
        <w:rFonts w:ascii="Wingdings" w:hAnsi="Wingdings" w:hint="default"/>
        <w:b/>
        <w:i w:val="0"/>
        <w:sz w:val="28"/>
        <w:szCs w:val="28"/>
        <w:u w:val="single" w:color="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CE5BF9"/>
    <w:multiLevelType w:val="multilevel"/>
    <w:tmpl w:val="72406564"/>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2F86D2D"/>
    <w:multiLevelType w:val="hybridMultilevel"/>
    <w:tmpl w:val="41BE9E34"/>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C5A4D"/>
    <w:multiLevelType w:val="hybridMultilevel"/>
    <w:tmpl w:val="2DCC564A"/>
    <w:lvl w:ilvl="0" w:tplc="8AF68076">
      <w:start w:val="1"/>
      <w:numFmt w:val="decimal"/>
      <w:lvlText w:val="%1)"/>
      <w:lvlJc w:val="left"/>
      <w:pPr>
        <w:ind w:left="360" w:hanging="360"/>
      </w:pPr>
      <w:rPr>
        <w:rFonts w:hint="default"/>
        <w:color w:val="auto"/>
        <w:sz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B76DC9"/>
    <w:multiLevelType w:val="hybridMultilevel"/>
    <w:tmpl w:val="97341BCA"/>
    <w:lvl w:ilvl="0" w:tplc="D0C4A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A049F"/>
    <w:multiLevelType w:val="hybridMultilevel"/>
    <w:tmpl w:val="064AAFBE"/>
    <w:lvl w:ilvl="0" w:tplc="8AF68076">
      <w:start w:val="1"/>
      <w:numFmt w:val="decimal"/>
      <w:lvlText w:val="%1)"/>
      <w:lvlJc w:val="left"/>
      <w:pPr>
        <w:ind w:left="360" w:hanging="360"/>
      </w:pPr>
      <w:rPr>
        <w:rFonts w:hint="default"/>
        <w:color w:val="auto"/>
        <w:sz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972A74"/>
    <w:multiLevelType w:val="hybridMultilevel"/>
    <w:tmpl w:val="C0562EF4"/>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E703A"/>
    <w:multiLevelType w:val="hybridMultilevel"/>
    <w:tmpl w:val="6706F10A"/>
    <w:lvl w:ilvl="0" w:tplc="557CD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F34E8"/>
    <w:multiLevelType w:val="hybridMultilevel"/>
    <w:tmpl w:val="DFEAD050"/>
    <w:lvl w:ilvl="0" w:tplc="00000005">
      <w:start w:val="1"/>
      <w:numFmt w:val="bullet"/>
      <w:lvlText w:val="−"/>
      <w:lvlJc w:val="left"/>
      <w:pPr>
        <w:ind w:left="1068" w:hanging="360"/>
      </w:pPr>
      <w:rPr>
        <w:rFonts w:ascii="Calibri" w:hAnsi="Calibri"/>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1C41710"/>
    <w:multiLevelType w:val="hybridMultilevel"/>
    <w:tmpl w:val="F886F2A4"/>
    <w:lvl w:ilvl="0" w:tplc="DBDC459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7F04E7F"/>
    <w:multiLevelType w:val="hybridMultilevel"/>
    <w:tmpl w:val="46C46482"/>
    <w:lvl w:ilvl="0" w:tplc="16FC44DC">
      <w:start w:val="1"/>
      <w:numFmt w:val="bullet"/>
      <w:lvlText w:val=""/>
      <w:lvlJc w:val="left"/>
      <w:pPr>
        <w:ind w:left="720"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075BB1"/>
    <w:multiLevelType w:val="hybridMultilevel"/>
    <w:tmpl w:val="C5AAA00E"/>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1370B"/>
    <w:multiLevelType w:val="hybridMultilevel"/>
    <w:tmpl w:val="B7108902"/>
    <w:lvl w:ilvl="0" w:tplc="90B8519A">
      <w:start w:val="1"/>
      <w:numFmt w:val="bullet"/>
      <w:lvlText w:val=""/>
      <w:lvlJc w:val="left"/>
      <w:pPr>
        <w:tabs>
          <w:tab w:val="num" w:pos="987"/>
        </w:tabs>
        <w:ind w:left="987" w:hanging="567"/>
      </w:pPr>
      <w:rPr>
        <w:rFonts w:ascii="Wingdings" w:hAnsi="Wingdings" w:hint="default"/>
        <w:b/>
        <w:i w:val="0"/>
        <w:sz w:val="28"/>
        <w:szCs w:val="28"/>
        <w:u w:val="single" w:color="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CA668E"/>
    <w:multiLevelType w:val="hybridMultilevel"/>
    <w:tmpl w:val="40C050A2"/>
    <w:lvl w:ilvl="0" w:tplc="16FC44DC">
      <w:start w:val="1"/>
      <w:numFmt w:val="bullet"/>
      <w:lvlText w:val=""/>
      <w:lvlJc w:val="left"/>
      <w:pPr>
        <w:tabs>
          <w:tab w:val="num" w:pos="720"/>
        </w:tabs>
        <w:ind w:left="720" w:hanging="360"/>
      </w:pPr>
      <w:rPr>
        <w:rFonts w:ascii="Symbol" w:hAnsi="Symbol" w:hint="default"/>
        <w:b w:val="0"/>
        <w:i w:val="0"/>
        <w:sz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805906"/>
    <w:multiLevelType w:val="hybridMultilevel"/>
    <w:tmpl w:val="062C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26864"/>
    <w:multiLevelType w:val="hybridMultilevel"/>
    <w:tmpl w:val="1A7C463C"/>
    <w:lvl w:ilvl="0" w:tplc="04190005">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9">
    <w:nsid w:val="40775DA2"/>
    <w:multiLevelType w:val="hybridMultilevel"/>
    <w:tmpl w:val="BD8AE182"/>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4300EA"/>
    <w:multiLevelType w:val="hybridMultilevel"/>
    <w:tmpl w:val="761C735E"/>
    <w:lvl w:ilvl="0" w:tplc="171E29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8DB3E96"/>
    <w:multiLevelType w:val="hybridMultilevel"/>
    <w:tmpl w:val="8A602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09119D"/>
    <w:multiLevelType w:val="multilevel"/>
    <w:tmpl w:val="5874C89C"/>
    <w:lvl w:ilvl="0">
      <w:start w:val="1"/>
      <w:numFmt w:val="decimal"/>
      <w:lvlText w:val="%1."/>
      <w:lvlJc w:val="left"/>
      <w:pPr>
        <w:tabs>
          <w:tab w:val="num" w:pos="720"/>
        </w:tabs>
        <w:ind w:left="720" w:hanging="360"/>
      </w:pPr>
    </w:lvl>
    <w:lvl w:ilvl="1">
      <w:start w:val="2"/>
      <w:numFmt w:val="decimal"/>
      <w:isLgl/>
      <w:lvlText w:val="%1.%2."/>
      <w:lvlJc w:val="left"/>
      <w:pPr>
        <w:ind w:left="1706" w:hanging="72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318"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23">
    <w:nsid w:val="4A5A28F5"/>
    <w:multiLevelType w:val="hybridMultilevel"/>
    <w:tmpl w:val="D9169C42"/>
    <w:lvl w:ilvl="0" w:tplc="16FC44DC">
      <w:start w:val="1"/>
      <w:numFmt w:val="bullet"/>
      <w:lvlText w:val=""/>
      <w:lvlJc w:val="left"/>
      <w:pPr>
        <w:ind w:left="1068" w:hanging="360"/>
      </w:pPr>
      <w:rPr>
        <w:rFonts w:ascii="Symbol" w:hAnsi="Symbol" w:hint="default"/>
        <w:color w:val="auto"/>
        <w:u w:val="no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BF129FC"/>
    <w:multiLevelType w:val="hybridMultilevel"/>
    <w:tmpl w:val="CB54F0B0"/>
    <w:lvl w:ilvl="0" w:tplc="1E16815A">
      <w:start w:val="1"/>
      <w:numFmt w:val="bullet"/>
      <w:lvlText w:val=""/>
      <w:lvlJc w:val="left"/>
      <w:pPr>
        <w:tabs>
          <w:tab w:val="num" w:pos="987"/>
        </w:tabs>
        <w:ind w:left="987" w:hanging="567"/>
      </w:pPr>
      <w:rPr>
        <w:rFonts w:ascii="Wingdings" w:hAnsi="Wingdings" w:hint="default"/>
        <w:b/>
        <w:i w:val="0"/>
        <w:sz w:val="24"/>
        <w:szCs w:val="24"/>
        <w:u w:val="none" w:color="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AE3214"/>
    <w:multiLevelType w:val="hybridMultilevel"/>
    <w:tmpl w:val="CB0C13BE"/>
    <w:lvl w:ilvl="0" w:tplc="00000005">
      <w:start w:val="1"/>
      <w:numFmt w:val="bullet"/>
      <w:lvlText w:val="−"/>
      <w:lvlJc w:val="left"/>
      <w:pPr>
        <w:ind w:left="1069" w:hanging="360"/>
      </w:pPr>
      <w:rPr>
        <w:rFonts w:ascii="Calibri" w:hAnsi="Calibr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6537B55"/>
    <w:multiLevelType w:val="hybridMultilevel"/>
    <w:tmpl w:val="5A0A8A58"/>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C3595"/>
    <w:multiLevelType w:val="hybridMultilevel"/>
    <w:tmpl w:val="36140F86"/>
    <w:lvl w:ilvl="0" w:tplc="49CA50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A773F7C"/>
    <w:multiLevelType w:val="hybridMultilevel"/>
    <w:tmpl w:val="61F46B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776FD"/>
    <w:multiLevelType w:val="multilevel"/>
    <w:tmpl w:val="892CDB8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364"/>
        </w:tabs>
        <w:ind w:left="1364"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B7864CC"/>
    <w:multiLevelType w:val="hybridMultilevel"/>
    <w:tmpl w:val="8A1CBB84"/>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4F62B8"/>
    <w:multiLevelType w:val="hybridMultilevel"/>
    <w:tmpl w:val="05B2C20C"/>
    <w:lvl w:ilvl="0" w:tplc="52FA92EA">
      <w:start w:val="1"/>
      <w:numFmt w:val="bullet"/>
      <w:lvlText w:val="−"/>
      <w:lvlJc w:val="left"/>
      <w:pPr>
        <w:ind w:left="2007" w:hanging="360"/>
      </w:pPr>
      <w:rPr>
        <w:rFonts w:ascii="Calibri" w:hAnsi="Calibri" w:hint="default"/>
        <w:sz w:val="24"/>
        <w:szCs w:val="24"/>
      </w:rPr>
    </w:lvl>
    <w:lvl w:ilvl="1" w:tplc="04190003">
      <w:start w:val="1"/>
      <w:numFmt w:val="bullet"/>
      <w:lvlText w:val="o"/>
      <w:lvlJc w:val="left"/>
      <w:pPr>
        <w:ind w:left="2727" w:hanging="360"/>
      </w:pPr>
      <w:rPr>
        <w:rFonts w:ascii="Courier New" w:hAnsi="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hint="default"/>
      </w:rPr>
    </w:lvl>
    <w:lvl w:ilvl="8" w:tplc="04190005">
      <w:start w:val="1"/>
      <w:numFmt w:val="bullet"/>
      <w:lvlText w:val=""/>
      <w:lvlJc w:val="left"/>
      <w:pPr>
        <w:ind w:left="7767" w:hanging="360"/>
      </w:pPr>
      <w:rPr>
        <w:rFonts w:ascii="Wingdings" w:hAnsi="Wingdings" w:hint="default"/>
      </w:rPr>
    </w:lvl>
  </w:abstractNum>
  <w:abstractNum w:abstractNumId="32">
    <w:nsid w:val="6A6030AE"/>
    <w:multiLevelType w:val="hybridMultilevel"/>
    <w:tmpl w:val="789A4AAA"/>
    <w:lvl w:ilvl="0" w:tplc="DA7419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CC75485"/>
    <w:multiLevelType w:val="hybridMultilevel"/>
    <w:tmpl w:val="6AB8989A"/>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1E612D"/>
    <w:multiLevelType w:val="hybridMultilevel"/>
    <w:tmpl w:val="7B9C9E4C"/>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2B3857"/>
    <w:multiLevelType w:val="hybridMultilevel"/>
    <w:tmpl w:val="1C52F810"/>
    <w:lvl w:ilvl="0" w:tplc="04190001">
      <w:start w:val="1"/>
      <w:numFmt w:val="bullet"/>
      <w:lvlText w:val=""/>
      <w:lvlJc w:val="left"/>
      <w:pPr>
        <w:ind w:left="1647" w:hanging="360"/>
      </w:pPr>
      <w:rPr>
        <w:rFonts w:ascii="Symbol" w:hAnsi="Symbol" w:hint="default"/>
        <w:sz w:val="24"/>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37">
    <w:nsid w:val="72834E5A"/>
    <w:multiLevelType w:val="hybridMultilevel"/>
    <w:tmpl w:val="4238B7AA"/>
    <w:lvl w:ilvl="0" w:tplc="52FA92EA">
      <w:start w:val="1"/>
      <w:numFmt w:val="bullet"/>
      <w:lvlText w:val="−"/>
      <w:lvlJc w:val="left"/>
      <w:pPr>
        <w:ind w:left="1647" w:hanging="360"/>
      </w:pPr>
      <w:rPr>
        <w:rFonts w:ascii="Calibri" w:hAnsi="Calibri" w:hint="default"/>
        <w:sz w:val="24"/>
        <w:szCs w:val="24"/>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89D6994"/>
    <w:multiLevelType w:val="hybridMultilevel"/>
    <w:tmpl w:val="0A9ECD60"/>
    <w:lvl w:ilvl="0" w:tplc="90B8519A">
      <w:start w:val="1"/>
      <w:numFmt w:val="bullet"/>
      <w:lvlText w:val=""/>
      <w:lvlJc w:val="left"/>
      <w:pPr>
        <w:tabs>
          <w:tab w:val="num" w:pos="987"/>
        </w:tabs>
        <w:ind w:left="987" w:hanging="567"/>
      </w:pPr>
      <w:rPr>
        <w:rFonts w:ascii="Wingdings" w:hAnsi="Wingdings" w:hint="default"/>
        <w:b/>
        <w:i w:val="0"/>
        <w:sz w:val="28"/>
        <w:szCs w:val="28"/>
        <w:u w:val="single" w:color="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317043"/>
    <w:multiLevelType w:val="hybridMultilevel"/>
    <w:tmpl w:val="10D89128"/>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00228"/>
    <w:multiLevelType w:val="hybridMultilevel"/>
    <w:tmpl w:val="36140F86"/>
    <w:lvl w:ilvl="0" w:tplc="49CA50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2"/>
  </w:num>
  <w:num w:numId="2">
    <w:abstractNumId w:val="29"/>
  </w:num>
  <w:num w:numId="3">
    <w:abstractNumId w:val="34"/>
  </w:num>
  <w:num w:numId="4">
    <w:abstractNumId w:val="1"/>
  </w:num>
  <w:num w:numId="5">
    <w:abstractNumId w:val="36"/>
  </w:num>
  <w:num w:numId="6">
    <w:abstractNumId w:val="31"/>
  </w:num>
  <w:num w:numId="7">
    <w:abstractNumId w:val="5"/>
  </w:num>
  <w:num w:numId="8">
    <w:abstractNumId w:val="7"/>
  </w:num>
  <w:num w:numId="9">
    <w:abstractNumId w:val="28"/>
  </w:num>
  <w:num w:numId="10">
    <w:abstractNumId w:val="0"/>
  </w:num>
  <w:num w:numId="11">
    <w:abstractNumId w:val="18"/>
  </w:num>
  <w:num w:numId="12">
    <w:abstractNumId w:val="37"/>
  </w:num>
  <w:num w:numId="13">
    <w:abstractNumId w:val="14"/>
  </w:num>
  <w:num w:numId="14">
    <w:abstractNumId w:val="23"/>
  </w:num>
  <w:num w:numId="15">
    <w:abstractNumId w:val="10"/>
  </w:num>
  <w:num w:numId="16">
    <w:abstractNumId w:val="33"/>
  </w:num>
  <w:num w:numId="17">
    <w:abstractNumId w:val="17"/>
  </w:num>
  <w:num w:numId="18">
    <w:abstractNumId w:val="25"/>
  </w:num>
  <w:num w:numId="19">
    <w:abstractNumId w:val="20"/>
  </w:num>
  <w:num w:numId="20">
    <w:abstractNumId w:val="13"/>
  </w:num>
  <w:num w:numId="21">
    <w:abstractNumId w:val="40"/>
  </w:num>
  <w:num w:numId="22">
    <w:abstractNumId w:val="27"/>
  </w:num>
  <w:num w:numId="23">
    <w:abstractNumId w:val="12"/>
  </w:num>
  <w:num w:numId="24">
    <w:abstractNumId w:val="2"/>
  </w:num>
  <w:num w:numId="25">
    <w:abstractNumId w:val="32"/>
  </w:num>
  <w:num w:numId="26">
    <w:abstractNumId w:val="19"/>
  </w:num>
  <w:num w:numId="27">
    <w:abstractNumId w:val="11"/>
  </w:num>
  <w:num w:numId="28">
    <w:abstractNumId w:val="16"/>
  </w:num>
  <w:num w:numId="29">
    <w:abstractNumId w:val="3"/>
  </w:num>
  <w:num w:numId="30">
    <w:abstractNumId w:val="15"/>
  </w:num>
  <w:num w:numId="31">
    <w:abstractNumId w:val="38"/>
  </w:num>
  <w:num w:numId="32">
    <w:abstractNumId w:val="24"/>
  </w:num>
  <w:num w:numId="33">
    <w:abstractNumId w:val="21"/>
  </w:num>
  <w:num w:numId="34">
    <w:abstractNumId w:val="4"/>
    <w:lvlOverride w:ilvl="0">
      <w:startOverride w:val="5"/>
    </w:lvlOverride>
    <w:lvlOverride w:ilvl="1">
      <w:startOverride w:val="1"/>
    </w:lvlOverride>
  </w:num>
  <w:num w:numId="35">
    <w:abstractNumId w:val="8"/>
  </w:num>
  <w:num w:numId="36">
    <w:abstractNumId w:val="6"/>
  </w:num>
  <w:num w:numId="37">
    <w:abstractNumId w:val="35"/>
  </w:num>
  <w:num w:numId="38">
    <w:abstractNumId w:val="30"/>
  </w:num>
  <w:num w:numId="39">
    <w:abstractNumId w:val="26"/>
  </w:num>
  <w:num w:numId="40">
    <w:abstractNumId w:val="9"/>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A6D86"/>
    <w:rsid w:val="000030FA"/>
    <w:rsid w:val="00031487"/>
    <w:rsid w:val="00036E57"/>
    <w:rsid w:val="00041E7D"/>
    <w:rsid w:val="00041F42"/>
    <w:rsid w:val="00044B0A"/>
    <w:rsid w:val="0005013F"/>
    <w:rsid w:val="000531EB"/>
    <w:rsid w:val="0006265D"/>
    <w:rsid w:val="000A15C7"/>
    <w:rsid w:val="000A6D86"/>
    <w:rsid w:val="000A7D55"/>
    <w:rsid w:val="000B096C"/>
    <w:rsid w:val="000B1D73"/>
    <w:rsid w:val="000D6FC1"/>
    <w:rsid w:val="000F571E"/>
    <w:rsid w:val="00103FC7"/>
    <w:rsid w:val="00117C23"/>
    <w:rsid w:val="00130424"/>
    <w:rsid w:val="00134230"/>
    <w:rsid w:val="001425DD"/>
    <w:rsid w:val="0018700F"/>
    <w:rsid w:val="001875AB"/>
    <w:rsid w:val="00190A90"/>
    <w:rsid w:val="001A4B2D"/>
    <w:rsid w:val="001B1BD5"/>
    <w:rsid w:val="001B26E9"/>
    <w:rsid w:val="001B6D53"/>
    <w:rsid w:val="001D26AE"/>
    <w:rsid w:val="001D5FA8"/>
    <w:rsid w:val="001F5957"/>
    <w:rsid w:val="001F6949"/>
    <w:rsid w:val="0022059C"/>
    <w:rsid w:val="002344E0"/>
    <w:rsid w:val="002648EC"/>
    <w:rsid w:val="00272C65"/>
    <w:rsid w:val="002855BB"/>
    <w:rsid w:val="0029015F"/>
    <w:rsid w:val="002A5B78"/>
    <w:rsid w:val="002B4087"/>
    <w:rsid w:val="002C713A"/>
    <w:rsid w:val="0031438F"/>
    <w:rsid w:val="003474E9"/>
    <w:rsid w:val="00375700"/>
    <w:rsid w:val="00390475"/>
    <w:rsid w:val="00391594"/>
    <w:rsid w:val="003B2EAB"/>
    <w:rsid w:val="003E3C13"/>
    <w:rsid w:val="003F0265"/>
    <w:rsid w:val="003F3224"/>
    <w:rsid w:val="00400E1C"/>
    <w:rsid w:val="00403C55"/>
    <w:rsid w:val="004208BF"/>
    <w:rsid w:val="004217B0"/>
    <w:rsid w:val="0043560D"/>
    <w:rsid w:val="0043589A"/>
    <w:rsid w:val="0044066B"/>
    <w:rsid w:val="004466C3"/>
    <w:rsid w:val="00456DED"/>
    <w:rsid w:val="0046258B"/>
    <w:rsid w:val="004829D0"/>
    <w:rsid w:val="004A1A8E"/>
    <w:rsid w:val="004B0C2F"/>
    <w:rsid w:val="004C465F"/>
    <w:rsid w:val="004D3377"/>
    <w:rsid w:val="004F1A30"/>
    <w:rsid w:val="004F55DA"/>
    <w:rsid w:val="00505548"/>
    <w:rsid w:val="005146EF"/>
    <w:rsid w:val="0051483D"/>
    <w:rsid w:val="0052189E"/>
    <w:rsid w:val="00525124"/>
    <w:rsid w:val="005259DD"/>
    <w:rsid w:val="005266F2"/>
    <w:rsid w:val="0054571C"/>
    <w:rsid w:val="0054625D"/>
    <w:rsid w:val="00551A28"/>
    <w:rsid w:val="005811EE"/>
    <w:rsid w:val="005966FE"/>
    <w:rsid w:val="00597557"/>
    <w:rsid w:val="005C0B4E"/>
    <w:rsid w:val="005C475F"/>
    <w:rsid w:val="005C5036"/>
    <w:rsid w:val="005C52EC"/>
    <w:rsid w:val="005D2D12"/>
    <w:rsid w:val="005F5959"/>
    <w:rsid w:val="0066575B"/>
    <w:rsid w:val="0067661C"/>
    <w:rsid w:val="00676D74"/>
    <w:rsid w:val="00684341"/>
    <w:rsid w:val="00684B26"/>
    <w:rsid w:val="006A1A98"/>
    <w:rsid w:val="006A3382"/>
    <w:rsid w:val="006A3C72"/>
    <w:rsid w:val="006A723F"/>
    <w:rsid w:val="006C367A"/>
    <w:rsid w:val="006D2BA6"/>
    <w:rsid w:val="006D7DC8"/>
    <w:rsid w:val="007045F7"/>
    <w:rsid w:val="00713684"/>
    <w:rsid w:val="00722C3F"/>
    <w:rsid w:val="00753F52"/>
    <w:rsid w:val="0076489A"/>
    <w:rsid w:val="007C0BF0"/>
    <w:rsid w:val="007C2307"/>
    <w:rsid w:val="007C739B"/>
    <w:rsid w:val="007D1094"/>
    <w:rsid w:val="007F2630"/>
    <w:rsid w:val="007F756D"/>
    <w:rsid w:val="0080747D"/>
    <w:rsid w:val="00814496"/>
    <w:rsid w:val="00844BC3"/>
    <w:rsid w:val="0084702C"/>
    <w:rsid w:val="00853974"/>
    <w:rsid w:val="0085398D"/>
    <w:rsid w:val="00863D31"/>
    <w:rsid w:val="00865F15"/>
    <w:rsid w:val="008819B3"/>
    <w:rsid w:val="0088494B"/>
    <w:rsid w:val="00892BD8"/>
    <w:rsid w:val="008A37A1"/>
    <w:rsid w:val="008A4CD7"/>
    <w:rsid w:val="008B7D10"/>
    <w:rsid w:val="008D447C"/>
    <w:rsid w:val="008F0052"/>
    <w:rsid w:val="009011F7"/>
    <w:rsid w:val="009247F0"/>
    <w:rsid w:val="00934C2F"/>
    <w:rsid w:val="00957F98"/>
    <w:rsid w:val="00971AF7"/>
    <w:rsid w:val="00973E6C"/>
    <w:rsid w:val="009778D3"/>
    <w:rsid w:val="009812C1"/>
    <w:rsid w:val="009812F9"/>
    <w:rsid w:val="0098432F"/>
    <w:rsid w:val="009900BF"/>
    <w:rsid w:val="0099089D"/>
    <w:rsid w:val="009A1523"/>
    <w:rsid w:val="009A1670"/>
    <w:rsid w:val="009A434F"/>
    <w:rsid w:val="009A6F2A"/>
    <w:rsid w:val="009E4888"/>
    <w:rsid w:val="009E7207"/>
    <w:rsid w:val="00A10A1D"/>
    <w:rsid w:val="00A22CB3"/>
    <w:rsid w:val="00A27479"/>
    <w:rsid w:val="00A3491A"/>
    <w:rsid w:val="00A46D26"/>
    <w:rsid w:val="00A525F5"/>
    <w:rsid w:val="00A61F45"/>
    <w:rsid w:val="00A6660B"/>
    <w:rsid w:val="00A72B1B"/>
    <w:rsid w:val="00AA4ADE"/>
    <w:rsid w:val="00AB5045"/>
    <w:rsid w:val="00AC7B10"/>
    <w:rsid w:val="00AD40B2"/>
    <w:rsid w:val="00AD4B12"/>
    <w:rsid w:val="00AE6259"/>
    <w:rsid w:val="00B03540"/>
    <w:rsid w:val="00B10FA8"/>
    <w:rsid w:val="00B350BC"/>
    <w:rsid w:val="00B51419"/>
    <w:rsid w:val="00B66363"/>
    <w:rsid w:val="00B71166"/>
    <w:rsid w:val="00B81FF9"/>
    <w:rsid w:val="00B839E1"/>
    <w:rsid w:val="00B873E0"/>
    <w:rsid w:val="00B92D3E"/>
    <w:rsid w:val="00B965EE"/>
    <w:rsid w:val="00BB7601"/>
    <w:rsid w:val="00BC5DEF"/>
    <w:rsid w:val="00BD193D"/>
    <w:rsid w:val="00BE0741"/>
    <w:rsid w:val="00C01E95"/>
    <w:rsid w:val="00C2039F"/>
    <w:rsid w:val="00C5698F"/>
    <w:rsid w:val="00C8748E"/>
    <w:rsid w:val="00C92578"/>
    <w:rsid w:val="00CA09E2"/>
    <w:rsid w:val="00CA4CFE"/>
    <w:rsid w:val="00CA6FEB"/>
    <w:rsid w:val="00CB2CC2"/>
    <w:rsid w:val="00CB51EB"/>
    <w:rsid w:val="00CB6F60"/>
    <w:rsid w:val="00CF2DCE"/>
    <w:rsid w:val="00D04309"/>
    <w:rsid w:val="00D10ADD"/>
    <w:rsid w:val="00D11EA3"/>
    <w:rsid w:val="00D13772"/>
    <w:rsid w:val="00D13C9F"/>
    <w:rsid w:val="00D2327D"/>
    <w:rsid w:val="00D24469"/>
    <w:rsid w:val="00D32924"/>
    <w:rsid w:val="00D40CC9"/>
    <w:rsid w:val="00D420C9"/>
    <w:rsid w:val="00D477AA"/>
    <w:rsid w:val="00D53C88"/>
    <w:rsid w:val="00D55A28"/>
    <w:rsid w:val="00D6063E"/>
    <w:rsid w:val="00D61BED"/>
    <w:rsid w:val="00D71021"/>
    <w:rsid w:val="00D9302B"/>
    <w:rsid w:val="00DA058A"/>
    <w:rsid w:val="00DA2F37"/>
    <w:rsid w:val="00DB4D1E"/>
    <w:rsid w:val="00DD4E58"/>
    <w:rsid w:val="00DE40A4"/>
    <w:rsid w:val="00DF3F3C"/>
    <w:rsid w:val="00DF7FC1"/>
    <w:rsid w:val="00E13081"/>
    <w:rsid w:val="00E139A4"/>
    <w:rsid w:val="00E14526"/>
    <w:rsid w:val="00E5797D"/>
    <w:rsid w:val="00E705D6"/>
    <w:rsid w:val="00E92621"/>
    <w:rsid w:val="00EB5197"/>
    <w:rsid w:val="00EE3D12"/>
    <w:rsid w:val="00F1254E"/>
    <w:rsid w:val="00F23C17"/>
    <w:rsid w:val="00F346CF"/>
    <w:rsid w:val="00F81DD0"/>
    <w:rsid w:val="00F874E2"/>
    <w:rsid w:val="00F95378"/>
    <w:rsid w:val="00F97C33"/>
    <w:rsid w:val="00FA115E"/>
    <w:rsid w:val="00FA4494"/>
    <w:rsid w:val="00FC71DC"/>
    <w:rsid w:val="00FD46C7"/>
    <w:rsid w:val="00FD6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86"/>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0A6D86"/>
    <w:pPr>
      <w:keepNext/>
      <w:keepLines/>
      <w:spacing w:before="360" w:after="240"/>
      <w:ind w:firstLine="0"/>
      <w:jc w:val="center"/>
      <w:outlineLvl w:val="0"/>
    </w:pPr>
    <w:rPr>
      <w:b/>
      <w:kern w:val="28"/>
    </w:rPr>
  </w:style>
  <w:style w:type="paragraph" w:styleId="2">
    <w:name w:val="heading 2"/>
    <w:basedOn w:val="a"/>
    <w:next w:val="a"/>
    <w:link w:val="20"/>
    <w:qFormat/>
    <w:rsid w:val="000A6D86"/>
    <w:pPr>
      <w:keepNext/>
      <w:spacing w:before="240" w:after="60"/>
      <w:outlineLvl w:val="1"/>
    </w:pPr>
    <w:rPr>
      <w:rFonts w:ascii="Arial" w:hAnsi="Arial" w:cs="Arial"/>
      <w:b/>
      <w:bCs/>
      <w:i/>
      <w:iCs/>
      <w:szCs w:val="28"/>
    </w:rPr>
  </w:style>
  <w:style w:type="paragraph" w:styleId="3">
    <w:name w:val="heading 3"/>
    <w:basedOn w:val="a"/>
    <w:next w:val="a"/>
    <w:link w:val="30"/>
    <w:qFormat/>
    <w:rsid w:val="000A6D86"/>
    <w:pPr>
      <w:keepNext/>
      <w:spacing w:before="240" w:after="60"/>
      <w:outlineLvl w:val="2"/>
    </w:pPr>
    <w:rPr>
      <w:rFonts w:ascii="Arial" w:hAnsi="Arial" w:cs="Arial"/>
      <w:b/>
      <w:bCs/>
      <w:sz w:val="26"/>
      <w:szCs w:val="26"/>
    </w:rPr>
  </w:style>
  <w:style w:type="paragraph" w:styleId="4">
    <w:name w:val="heading 4"/>
    <w:basedOn w:val="a"/>
    <w:next w:val="a"/>
    <w:link w:val="40"/>
    <w:qFormat/>
    <w:rsid w:val="000A6D86"/>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D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rsid w:val="000A6D86"/>
    <w:rPr>
      <w:rFonts w:ascii="Arial" w:eastAsia="Times New Roman" w:hAnsi="Arial" w:cs="Arial"/>
      <w:b/>
      <w:bCs/>
      <w:i/>
      <w:iCs/>
      <w:sz w:val="28"/>
      <w:szCs w:val="28"/>
      <w:lang w:eastAsia="ru-RU"/>
    </w:rPr>
  </w:style>
  <w:style w:type="character" w:customStyle="1" w:styleId="30">
    <w:name w:val="Заголовок 3 Знак"/>
    <w:basedOn w:val="a0"/>
    <w:link w:val="3"/>
    <w:rsid w:val="000A6D86"/>
    <w:rPr>
      <w:rFonts w:ascii="Arial" w:eastAsia="Times New Roman" w:hAnsi="Arial" w:cs="Arial"/>
      <w:b/>
      <w:bCs/>
      <w:sz w:val="26"/>
      <w:szCs w:val="26"/>
      <w:lang w:eastAsia="ru-RU"/>
    </w:rPr>
  </w:style>
  <w:style w:type="character" w:customStyle="1" w:styleId="40">
    <w:name w:val="Заголовок 4 Знак"/>
    <w:basedOn w:val="a0"/>
    <w:link w:val="4"/>
    <w:rsid w:val="000A6D86"/>
    <w:rPr>
      <w:rFonts w:ascii="Times New Roman" w:eastAsia="Times New Roman" w:hAnsi="Times New Roman" w:cs="Times New Roman"/>
      <w:b/>
      <w:bCs/>
      <w:sz w:val="28"/>
      <w:szCs w:val="28"/>
      <w:lang w:eastAsia="ru-RU"/>
    </w:rPr>
  </w:style>
  <w:style w:type="paragraph" w:customStyle="1" w:styleId="11">
    <w:name w:val="1"/>
    <w:basedOn w:val="a"/>
    <w:rsid w:val="000A6D86"/>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3">
    <w:name w:val="footer"/>
    <w:basedOn w:val="a"/>
    <w:link w:val="a4"/>
    <w:uiPriority w:val="99"/>
    <w:rsid w:val="000A6D86"/>
    <w:pPr>
      <w:tabs>
        <w:tab w:val="center" w:pos="4153"/>
        <w:tab w:val="right" w:pos="8306"/>
      </w:tabs>
    </w:pPr>
  </w:style>
  <w:style w:type="character" w:customStyle="1" w:styleId="a4">
    <w:name w:val="Нижний колонтитул Знак"/>
    <w:basedOn w:val="a0"/>
    <w:link w:val="a3"/>
    <w:uiPriority w:val="99"/>
    <w:rsid w:val="000A6D86"/>
    <w:rPr>
      <w:rFonts w:ascii="Times New Roman" w:eastAsia="Times New Roman" w:hAnsi="Times New Roman" w:cs="Times New Roman"/>
      <w:sz w:val="28"/>
      <w:szCs w:val="20"/>
      <w:lang w:eastAsia="ru-RU"/>
    </w:rPr>
  </w:style>
  <w:style w:type="paragraph" w:styleId="a5">
    <w:name w:val="header"/>
    <w:basedOn w:val="a"/>
    <w:link w:val="a6"/>
    <w:uiPriority w:val="99"/>
    <w:rsid w:val="000A6D86"/>
    <w:pPr>
      <w:ind w:firstLine="0"/>
      <w:jc w:val="center"/>
    </w:pPr>
  </w:style>
  <w:style w:type="character" w:customStyle="1" w:styleId="a6">
    <w:name w:val="Верхний колонтитул Знак"/>
    <w:basedOn w:val="a0"/>
    <w:link w:val="a5"/>
    <w:uiPriority w:val="99"/>
    <w:rsid w:val="000A6D86"/>
    <w:rPr>
      <w:rFonts w:ascii="Times New Roman" w:eastAsia="Times New Roman" w:hAnsi="Times New Roman" w:cs="Times New Roman"/>
      <w:sz w:val="28"/>
      <w:szCs w:val="20"/>
      <w:lang w:eastAsia="ru-RU"/>
    </w:rPr>
  </w:style>
  <w:style w:type="paragraph" w:styleId="a7">
    <w:name w:val="Signature"/>
    <w:basedOn w:val="a"/>
    <w:next w:val="a"/>
    <w:link w:val="a8"/>
    <w:rsid w:val="000A6D86"/>
    <w:pPr>
      <w:keepLines/>
      <w:spacing w:line="192" w:lineRule="auto"/>
      <w:ind w:firstLine="0"/>
      <w:jc w:val="left"/>
    </w:pPr>
  </w:style>
  <w:style w:type="character" w:customStyle="1" w:styleId="a8">
    <w:name w:val="Подпись Знак"/>
    <w:basedOn w:val="a0"/>
    <w:link w:val="a7"/>
    <w:rsid w:val="000A6D86"/>
    <w:rPr>
      <w:rFonts w:ascii="Times New Roman" w:eastAsia="Times New Roman" w:hAnsi="Times New Roman" w:cs="Times New Roman"/>
      <w:sz w:val="28"/>
      <w:szCs w:val="20"/>
      <w:lang w:eastAsia="ru-RU"/>
    </w:rPr>
  </w:style>
  <w:style w:type="paragraph" w:customStyle="1" w:styleId="a9">
    <w:name w:val="Без отступа"/>
    <w:basedOn w:val="a"/>
    <w:rsid w:val="000A6D86"/>
    <w:pPr>
      <w:ind w:firstLine="0"/>
      <w:jc w:val="left"/>
    </w:pPr>
  </w:style>
  <w:style w:type="table" w:styleId="aa">
    <w:name w:val="Table Grid"/>
    <w:basedOn w:val="a1"/>
    <w:rsid w:val="000A6D86"/>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0A6D86"/>
  </w:style>
  <w:style w:type="paragraph" w:customStyle="1" w:styleId="ac">
    <w:name w:val="Знак"/>
    <w:basedOn w:val="a"/>
    <w:rsid w:val="000A6D86"/>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d">
    <w:name w:val="???????"/>
    <w:rsid w:val="000A6D86"/>
    <w:pPr>
      <w:widowControl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rsid w:val="000A6D86"/>
    <w:pPr>
      <w:tabs>
        <w:tab w:val="left" w:pos="980"/>
        <w:tab w:val="left" w:pos="1701"/>
        <w:tab w:val="right" w:leader="dot" w:pos="9629"/>
      </w:tabs>
      <w:spacing w:before="120" w:after="120"/>
      <w:jc w:val="left"/>
    </w:pPr>
    <w:rPr>
      <w:b/>
      <w:bCs/>
      <w:caps/>
      <w:sz w:val="20"/>
    </w:rPr>
  </w:style>
  <w:style w:type="paragraph" w:styleId="21">
    <w:name w:val="toc 2"/>
    <w:basedOn w:val="a"/>
    <w:next w:val="a"/>
    <w:autoRedefine/>
    <w:uiPriority w:val="39"/>
    <w:rsid w:val="000A6D86"/>
    <w:pPr>
      <w:tabs>
        <w:tab w:val="left" w:pos="1400"/>
        <w:tab w:val="right" w:leader="dot" w:pos="9629"/>
      </w:tabs>
      <w:spacing w:before="120"/>
      <w:ind w:left="1400" w:hanging="411"/>
      <w:jc w:val="left"/>
    </w:pPr>
    <w:rPr>
      <w:smallCaps/>
      <w:sz w:val="20"/>
    </w:rPr>
  </w:style>
  <w:style w:type="paragraph" w:styleId="31">
    <w:name w:val="toc 3"/>
    <w:basedOn w:val="a"/>
    <w:next w:val="a"/>
    <w:autoRedefine/>
    <w:uiPriority w:val="39"/>
    <w:rsid w:val="000A6D86"/>
    <w:pPr>
      <w:tabs>
        <w:tab w:val="left" w:pos="1680"/>
        <w:tab w:val="right" w:leader="dot" w:pos="9629"/>
      </w:tabs>
      <w:spacing w:before="120"/>
      <w:ind w:left="1680" w:hanging="691"/>
      <w:jc w:val="left"/>
    </w:pPr>
    <w:rPr>
      <w:i/>
      <w:iCs/>
      <w:sz w:val="20"/>
    </w:rPr>
  </w:style>
  <w:style w:type="paragraph" w:styleId="41">
    <w:name w:val="toc 4"/>
    <w:basedOn w:val="a"/>
    <w:next w:val="a"/>
    <w:autoRedefine/>
    <w:uiPriority w:val="39"/>
    <w:rsid w:val="000A6D86"/>
    <w:pPr>
      <w:ind w:left="840"/>
      <w:jc w:val="left"/>
    </w:pPr>
    <w:rPr>
      <w:sz w:val="18"/>
      <w:szCs w:val="18"/>
    </w:rPr>
  </w:style>
  <w:style w:type="paragraph" w:styleId="5">
    <w:name w:val="toc 5"/>
    <w:basedOn w:val="a"/>
    <w:next w:val="a"/>
    <w:autoRedefine/>
    <w:uiPriority w:val="39"/>
    <w:rsid w:val="000A6D86"/>
    <w:pPr>
      <w:ind w:left="1120"/>
      <w:jc w:val="left"/>
    </w:pPr>
    <w:rPr>
      <w:sz w:val="18"/>
      <w:szCs w:val="18"/>
    </w:rPr>
  </w:style>
  <w:style w:type="paragraph" w:styleId="6">
    <w:name w:val="toc 6"/>
    <w:basedOn w:val="a"/>
    <w:next w:val="a"/>
    <w:autoRedefine/>
    <w:uiPriority w:val="39"/>
    <w:rsid w:val="000A6D86"/>
    <w:pPr>
      <w:ind w:left="1400"/>
      <w:jc w:val="left"/>
    </w:pPr>
    <w:rPr>
      <w:sz w:val="18"/>
      <w:szCs w:val="18"/>
    </w:rPr>
  </w:style>
  <w:style w:type="paragraph" w:styleId="7">
    <w:name w:val="toc 7"/>
    <w:basedOn w:val="a"/>
    <w:next w:val="a"/>
    <w:autoRedefine/>
    <w:uiPriority w:val="39"/>
    <w:rsid w:val="000A6D86"/>
    <w:pPr>
      <w:ind w:left="1680"/>
      <w:jc w:val="left"/>
    </w:pPr>
    <w:rPr>
      <w:sz w:val="18"/>
      <w:szCs w:val="18"/>
    </w:rPr>
  </w:style>
  <w:style w:type="paragraph" w:styleId="8">
    <w:name w:val="toc 8"/>
    <w:basedOn w:val="a"/>
    <w:next w:val="a"/>
    <w:autoRedefine/>
    <w:uiPriority w:val="39"/>
    <w:rsid w:val="000A6D86"/>
    <w:pPr>
      <w:ind w:left="1960"/>
      <w:jc w:val="left"/>
    </w:pPr>
    <w:rPr>
      <w:sz w:val="18"/>
      <w:szCs w:val="18"/>
    </w:rPr>
  </w:style>
  <w:style w:type="paragraph" w:styleId="9">
    <w:name w:val="toc 9"/>
    <w:basedOn w:val="a"/>
    <w:next w:val="a"/>
    <w:autoRedefine/>
    <w:uiPriority w:val="39"/>
    <w:rsid w:val="000A6D86"/>
    <w:pPr>
      <w:ind w:left="2240"/>
      <w:jc w:val="left"/>
    </w:pPr>
    <w:rPr>
      <w:sz w:val="18"/>
      <w:szCs w:val="18"/>
    </w:rPr>
  </w:style>
  <w:style w:type="paragraph" w:styleId="ae">
    <w:name w:val="footnote text"/>
    <w:aliases w:val="Текст сноски Знак Знак"/>
    <w:basedOn w:val="a"/>
    <w:link w:val="af"/>
    <w:semiHidden/>
    <w:rsid w:val="000A6D86"/>
    <w:rPr>
      <w:sz w:val="20"/>
    </w:rPr>
  </w:style>
  <w:style w:type="character" w:customStyle="1" w:styleId="af">
    <w:name w:val="Текст сноски Знак"/>
    <w:aliases w:val="Текст сноски Знак Знак Знак"/>
    <w:basedOn w:val="a0"/>
    <w:link w:val="ae"/>
    <w:semiHidden/>
    <w:rsid w:val="000A6D86"/>
    <w:rPr>
      <w:rFonts w:ascii="Times New Roman" w:eastAsia="Times New Roman" w:hAnsi="Times New Roman" w:cs="Times New Roman"/>
      <w:sz w:val="20"/>
      <w:szCs w:val="20"/>
      <w:lang w:eastAsia="ru-RU"/>
    </w:rPr>
  </w:style>
  <w:style w:type="character" w:styleId="af0">
    <w:name w:val="footnote reference"/>
    <w:semiHidden/>
    <w:rsid w:val="000A6D86"/>
    <w:rPr>
      <w:vertAlign w:val="superscript"/>
    </w:rPr>
  </w:style>
  <w:style w:type="character" w:styleId="af1">
    <w:name w:val="Hyperlink"/>
    <w:uiPriority w:val="99"/>
    <w:rsid w:val="000A6D86"/>
    <w:rPr>
      <w:color w:val="0000FF"/>
      <w:u w:val="single"/>
    </w:rPr>
  </w:style>
  <w:style w:type="paragraph" w:customStyle="1" w:styleId="ConsPlusCell">
    <w:name w:val="ConsPlusCell"/>
    <w:uiPriority w:val="99"/>
    <w:rsid w:val="000A6D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A6D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
    <w:rsid w:val="000A6D86"/>
    <w:pPr>
      <w:spacing w:before="100" w:beforeAutospacing="1" w:after="100" w:afterAutospacing="1"/>
      <w:ind w:firstLine="0"/>
      <w:jc w:val="left"/>
    </w:pPr>
    <w:rPr>
      <w:sz w:val="24"/>
      <w:szCs w:val="24"/>
    </w:rPr>
  </w:style>
  <w:style w:type="paragraph" w:styleId="af2">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f3"/>
    <w:rsid w:val="000A6D86"/>
    <w:pPr>
      <w:spacing w:before="120" w:after="120"/>
      <w:ind w:left="2520" w:firstLine="0"/>
      <w:jc w:val="left"/>
    </w:pPr>
    <w:rPr>
      <w:rFonts w:ascii="Book Antiqua" w:hAnsi="Book Antiqua"/>
      <w:sz w:val="20"/>
      <w:lang w:val="en-US"/>
    </w:rPr>
  </w:style>
  <w:style w:type="character" w:customStyle="1" w:styleId="af3">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f2"/>
    <w:rsid w:val="000A6D86"/>
    <w:rPr>
      <w:rFonts w:ascii="Book Antiqua" w:eastAsia="Times New Roman" w:hAnsi="Book Antiqua" w:cs="Times New Roman"/>
      <w:sz w:val="20"/>
      <w:szCs w:val="20"/>
      <w:lang w:val="en-US" w:eastAsia="ru-RU"/>
    </w:rPr>
  </w:style>
  <w:style w:type="character" w:styleId="af4">
    <w:name w:val="annotation reference"/>
    <w:semiHidden/>
    <w:rsid w:val="000A6D86"/>
    <w:rPr>
      <w:sz w:val="16"/>
      <w:szCs w:val="16"/>
    </w:rPr>
  </w:style>
  <w:style w:type="paragraph" w:styleId="af5">
    <w:name w:val="annotation text"/>
    <w:basedOn w:val="a"/>
    <w:link w:val="af6"/>
    <w:semiHidden/>
    <w:rsid w:val="000A6D86"/>
    <w:rPr>
      <w:sz w:val="20"/>
    </w:rPr>
  </w:style>
  <w:style w:type="character" w:customStyle="1" w:styleId="af6">
    <w:name w:val="Текст примечания Знак"/>
    <w:basedOn w:val="a0"/>
    <w:link w:val="af5"/>
    <w:semiHidden/>
    <w:rsid w:val="000A6D86"/>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0A6D86"/>
    <w:rPr>
      <w:b/>
      <w:bCs/>
    </w:rPr>
  </w:style>
  <w:style w:type="character" w:customStyle="1" w:styleId="af8">
    <w:name w:val="Тема примечания Знак"/>
    <w:basedOn w:val="af6"/>
    <w:link w:val="af7"/>
    <w:semiHidden/>
    <w:rsid w:val="000A6D86"/>
    <w:rPr>
      <w:rFonts w:ascii="Times New Roman" w:eastAsia="Times New Roman" w:hAnsi="Times New Roman" w:cs="Times New Roman"/>
      <w:b/>
      <w:bCs/>
      <w:sz w:val="20"/>
      <w:szCs w:val="20"/>
      <w:lang w:eastAsia="ru-RU"/>
    </w:rPr>
  </w:style>
  <w:style w:type="paragraph" w:styleId="af9">
    <w:name w:val="Balloon Text"/>
    <w:basedOn w:val="a"/>
    <w:link w:val="afa"/>
    <w:semiHidden/>
    <w:rsid w:val="000A6D86"/>
    <w:rPr>
      <w:rFonts w:ascii="Tahoma" w:hAnsi="Tahoma" w:cs="Tahoma"/>
      <w:sz w:val="16"/>
      <w:szCs w:val="16"/>
    </w:rPr>
  </w:style>
  <w:style w:type="character" w:customStyle="1" w:styleId="afa">
    <w:name w:val="Текст выноски Знак"/>
    <w:basedOn w:val="a0"/>
    <w:link w:val="af9"/>
    <w:semiHidden/>
    <w:rsid w:val="000A6D86"/>
    <w:rPr>
      <w:rFonts w:ascii="Tahoma" w:eastAsia="Times New Roman" w:hAnsi="Tahoma" w:cs="Tahoma"/>
      <w:sz w:val="16"/>
      <w:szCs w:val="16"/>
      <w:lang w:eastAsia="ru-RU"/>
    </w:rPr>
  </w:style>
  <w:style w:type="paragraph" w:styleId="afb">
    <w:name w:val="List Paragraph"/>
    <w:basedOn w:val="a"/>
    <w:uiPriority w:val="34"/>
    <w:qFormat/>
    <w:rsid w:val="000A6D86"/>
    <w:pPr>
      <w:ind w:left="720"/>
      <w:contextualSpacing/>
    </w:pPr>
  </w:style>
  <w:style w:type="paragraph" w:customStyle="1" w:styleId="42">
    <w:name w:val="Заголовок 4 уровня"/>
    <w:basedOn w:val="ad"/>
    <w:rsid w:val="000A6D86"/>
    <w:rPr>
      <w:rFonts w:ascii="Arial Narrow" w:hAnsi="Arial Narrow"/>
      <w:i/>
      <w:sz w:val="24"/>
    </w:rPr>
  </w:style>
  <w:style w:type="paragraph" w:customStyle="1" w:styleId="afc">
    <w:name w:val="Текст отчета"/>
    <w:basedOn w:val="a"/>
    <w:rsid w:val="000A6D86"/>
    <w:pPr>
      <w:spacing w:before="60" w:after="60"/>
      <w:ind w:firstLine="0"/>
    </w:pPr>
    <w:rPr>
      <w:rFonts w:ascii="Arial Narrow" w:hAnsi="Arial Narrow"/>
      <w:sz w:val="24"/>
    </w:rPr>
  </w:style>
  <w:style w:type="paragraph" w:customStyle="1" w:styleId="410">
    <w:name w:val="Заголовок 4.1"/>
    <w:basedOn w:val="4"/>
    <w:rsid w:val="000A6D86"/>
    <w:pPr>
      <w:tabs>
        <w:tab w:val="left" w:pos="851"/>
      </w:tabs>
      <w:spacing w:after="120"/>
      <w:ind w:firstLine="0"/>
    </w:pPr>
    <w:rPr>
      <w:rFonts w:ascii="Arial Narrow" w:hAnsi="Arial Narrow"/>
      <w:i/>
      <w:sz w:val="24"/>
    </w:rPr>
  </w:style>
  <w:style w:type="paragraph" w:styleId="afd">
    <w:name w:val="Normal (Web)"/>
    <w:basedOn w:val="a"/>
    <w:uiPriority w:val="99"/>
    <w:rsid w:val="000A6D86"/>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
    <w:rsid w:val="000A6D86"/>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3">
    <w:name w:val="Абзац списка1"/>
    <w:basedOn w:val="a"/>
    <w:rsid w:val="000A6D86"/>
    <w:pPr>
      <w:ind w:left="720" w:firstLine="0"/>
      <w:jc w:val="left"/>
    </w:pPr>
    <w:rPr>
      <w:rFonts w:eastAsia="Calibri"/>
      <w:sz w:val="24"/>
      <w:szCs w:val="24"/>
    </w:rPr>
  </w:style>
  <w:style w:type="paragraph" w:customStyle="1" w:styleId="312">
    <w:name w:val="Стиль Заголовок 3 + 12 пт"/>
    <w:basedOn w:val="3"/>
    <w:link w:val="3120"/>
    <w:autoRedefine/>
    <w:rsid w:val="000A6D86"/>
    <w:pPr>
      <w:keepLines/>
      <w:tabs>
        <w:tab w:val="left" w:pos="1560"/>
      </w:tabs>
      <w:spacing w:after="120"/>
      <w:ind w:left="851" w:firstLine="0"/>
    </w:pPr>
    <w:rPr>
      <w:rFonts w:ascii="Times New Roman" w:hAnsi="Times New Roman" w:cs="Times New Roman"/>
    </w:rPr>
  </w:style>
  <w:style w:type="character" w:customStyle="1" w:styleId="3120">
    <w:name w:val="Стиль Заголовок 3 + 12 пт Знак"/>
    <w:link w:val="312"/>
    <w:rsid w:val="000A6D86"/>
    <w:rPr>
      <w:rFonts w:ascii="Times New Roman" w:eastAsia="Times New Roman" w:hAnsi="Times New Roman" w:cs="Times New Roman"/>
      <w:b/>
      <w:bCs/>
      <w:sz w:val="26"/>
      <w:szCs w:val="26"/>
      <w:lang w:eastAsia="ru-RU"/>
    </w:rPr>
  </w:style>
  <w:style w:type="paragraph" w:customStyle="1" w:styleId="212">
    <w:name w:val="Стиль Заголовок 2 + 12 пт не курсив малые прописные По центру С..."/>
    <w:basedOn w:val="2"/>
    <w:autoRedefine/>
    <w:rsid w:val="000A6D86"/>
    <w:pPr>
      <w:numPr>
        <w:ilvl w:val="1"/>
        <w:numId w:val="3"/>
      </w:numPr>
      <w:spacing w:after="120"/>
      <w:jc w:val="center"/>
    </w:pPr>
    <w:rPr>
      <w:rFonts w:ascii="Arial Narrow" w:hAnsi="Arial Narrow" w:cs="Times New Roman"/>
      <w:i w:val="0"/>
      <w:iCs w:val="0"/>
      <w:sz w:val="26"/>
      <w:szCs w:val="26"/>
    </w:rPr>
  </w:style>
  <w:style w:type="paragraph" w:customStyle="1" w:styleId="4Arial01521">
    <w:name w:val="Стиль Заголовок 4 + Arial Слева:  0 см Выступ:  152 см После:  ...1"/>
    <w:basedOn w:val="4"/>
    <w:autoRedefine/>
    <w:rsid w:val="000A6D86"/>
    <w:pPr>
      <w:numPr>
        <w:ilvl w:val="4"/>
        <w:numId w:val="3"/>
      </w:numPr>
      <w:tabs>
        <w:tab w:val="clear" w:pos="1080"/>
        <w:tab w:val="num" w:pos="0"/>
      </w:tabs>
      <w:spacing w:after="120"/>
      <w:ind w:left="0" w:firstLine="360"/>
    </w:pPr>
    <w:rPr>
      <w:rFonts w:ascii="Arial Narrow" w:hAnsi="Arial Narrow"/>
      <w:i/>
      <w:sz w:val="26"/>
      <w:szCs w:val="26"/>
    </w:rPr>
  </w:style>
  <w:style w:type="paragraph" w:customStyle="1" w:styleId="14">
    <w:name w:val="Абзац списка1"/>
    <w:basedOn w:val="a"/>
    <w:rsid w:val="000A6D86"/>
    <w:pPr>
      <w:ind w:left="720" w:firstLine="0"/>
      <w:jc w:val="left"/>
    </w:pPr>
    <w:rPr>
      <w:rFonts w:eastAsia="Calibri"/>
      <w:sz w:val="24"/>
      <w:szCs w:val="24"/>
    </w:rPr>
  </w:style>
  <w:style w:type="table" w:customStyle="1" w:styleId="15">
    <w:name w:val="Сетка таблицы1"/>
    <w:basedOn w:val="a1"/>
    <w:next w:val="aa"/>
    <w:rsid w:val="000A6D86"/>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rsid w:val="000A6D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0A6D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a"/>
    <w:rsid w:val="000A6D86"/>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a"/>
    <w:rsid w:val="000A6D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0A6D86"/>
  </w:style>
  <w:style w:type="table" w:customStyle="1" w:styleId="60">
    <w:name w:val="Сетка таблицы6"/>
    <w:basedOn w:val="a1"/>
    <w:next w:val="aa"/>
    <w:uiPriority w:val="59"/>
    <w:rsid w:val="000A6D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тиль Основной текст"/>
    <w:basedOn w:val="af2"/>
    <w:link w:val="aff"/>
    <w:uiPriority w:val="99"/>
    <w:rsid w:val="000A6D86"/>
    <w:pPr>
      <w:spacing w:before="0"/>
      <w:ind w:left="0"/>
      <w:jc w:val="both"/>
    </w:pPr>
    <w:rPr>
      <w:rFonts w:ascii="Arial Narrow" w:hAnsi="Arial Narrow" w:cs="Arial Narrow"/>
      <w:sz w:val="24"/>
      <w:szCs w:val="24"/>
      <w:lang w:val="ru-RU"/>
    </w:rPr>
  </w:style>
  <w:style w:type="character" w:customStyle="1" w:styleId="aff">
    <w:name w:val="Стиль Основной текст Знак"/>
    <w:link w:val="afe"/>
    <w:uiPriority w:val="99"/>
    <w:locked/>
    <w:rsid w:val="000A6D86"/>
    <w:rPr>
      <w:rFonts w:ascii="Arial Narrow" w:eastAsia="Times New Roman" w:hAnsi="Arial Narrow" w:cs="Arial Narrow"/>
      <w:sz w:val="24"/>
      <w:szCs w:val="24"/>
      <w:lang w:eastAsia="ru-RU"/>
    </w:rPr>
  </w:style>
  <w:style w:type="paragraph" w:customStyle="1" w:styleId="aff0">
    <w:name w:val="Табличный"/>
    <w:basedOn w:val="a"/>
    <w:rsid w:val="000A6D86"/>
    <w:pPr>
      <w:kinsoku w:val="0"/>
      <w:autoSpaceDE w:val="0"/>
      <w:autoSpaceDN w:val="0"/>
      <w:ind w:firstLine="0"/>
    </w:pPr>
    <w:rPr>
      <w:rFonts w:ascii="Arial Narrow" w:hAnsi="Arial Narrow" w:cs="Arial"/>
      <w:sz w:val="22"/>
      <w:szCs w:val="24"/>
    </w:rPr>
  </w:style>
  <w:style w:type="paragraph" w:customStyle="1" w:styleId="ConsPlusNormal">
    <w:name w:val="ConsPlusNormal"/>
    <w:rsid w:val="000A6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
    <w:rsid w:val="000A6D86"/>
    <w:pPr>
      <w:tabs>
        <w:tab w:val="num" w:pos="360"/>
      </w:tabs>
      <w:spacing w:before="100" w:beforeAutospacing="1" w:after="160" w:afterAutospacing="1" w:line="240" w:lineRule="exact"/>
      <w:ind w:firstLine="0"/>
    </w:pPr>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29528">
      <w:bodyDiv w:val="1"/>
      <w:marLeft w:val="0"/>
      <w:marRight w:val="0"/>
      <w:marTop w:val="0"/>
      <w:marBottom w:val="0"/>
      <w:divBdr>
        <w:top w:val="none" w:sz="0" w:space="0" w:color="auto"/>
        <w:left w:val="none" w:sz="0" w:space="0" w:color="auto"/>
        <w:bottom w:val="none" w:sz="0" w:space="0" w:color="auto"/>
        <w:right w:val="none" w:sz="0" w:space="0" w:color="auto"/>
      </w:divBdr>
    </w:div>
    <w:div w:id="161942598">
      <w:bodyDiv w:val="1"/>
      <w:marLeft w:val="0"/>
      <w:marRight w:val="0"/>
      <w:marTop w:val="0"/>
      <w:marBottom w:val="0"/>
      <w:divBdr>
        <w:top w:val="none" w:sz="0" w:space="0" w:color="auto"/>
        <w:left w:val="none" w:sz="0" w:space="0" w:color="auto"/>
        <w:bottom w:val="none" w:sz="0" w:space="0" w:color="auto"/>
        <w:right w:val="none" w:sz="0" w:space="0" w:color="auto"/>
      </w:divBdr>
    </w:div>
    <w:div w:id="187334241">
      <w:bodyDiv w:val="1"/>
      <w:marLeft w:val="0"/>
      <w:marRight w:val="0"/>
      <w:marTop w:val="0"/>
      <w:marBottom w:val="0"/>
      <w:divBdr>
        <w:top w:val="none" w:sz="0" w:space="0" w:color="auto"/>
        <w:left w:val="none" w:sz="0" w:space="0" w:color="auto"/>
        <w:bottom w:val="none" w:sz="0" w:space="0" w:color="auto"/>
        <w:right w:val="none" w:sz="0" w:space="0" w:color="auto"/>
      </w:divBdr>
    </w:div>
    <w:div w:id="196086429">
      <w:bodyDiv w:val="1"/>
      <w:marLeft w:val="0"/>
      <w:marRight w:val="0"/>
      <w:marTop w:val="0"/>
      <w:marBottom w:val="0"/>
      <w:divBdr>
        <w:top w:val="none" w:sz="0" w:space="0" w:color="auto"/>
        <w:left w:val="none" w:sz="0" w:space="0" w:color="auto"/>
        <w:bottom w:val="none" w:sz="0" w:space="0" w:color="auto"/>
        <w:right w:val="none" w:sz="0" w:space="0" w:color="auto"/>
      </w:divBdr>
    </w:div>
    <w:div w:id="335958874">
      <w:bodyDiv w:val="1"/>
      <w:marLeft w:val="0"/>
      <w:marRight w:val="0"/>
      <w:marTop w:val="0"/>
      <w:marBottom w:val="0"/>
      <w:divBdr>
        <w:top w:val="none" w:sz="0" w:space="0" w:color="auto"/>
        <w:left w:val="none" w:sz="0" w:space="0" w:color="auto"/>
        <w:bottom w:val="none" w:sz="0" w:space="0" w:color="auto"/>
        <w:right w:val="none" w:sz="0" w:space="0" w:color="auto"/>
      </w:divBdr>
    </w:div>
    <w:div w:id="422265974">
      <w:bodyDiv w:val="1"/>
      <w:marLeft w:val="0"/>
      <w:marRight w:val="0"/>
      <w:marTop w:val="0"/>
      <w:marBottom w:val="0"/>
      <w:divBdr>
        <w:top w:val="none" w:sz="0" w:space="0" w:color="auto"/>
        <w:left w:val="none" w:sz="0" w:space="0" w:color="auto"/>
        <w:bottom w:val="none" w:sz="0" w:space="0" w:color="auto"/>
        <w:right w:val="none" w:sz="0" w:space="0" w:color="auto"/>
      </w:divBdr>
    </w:div>
    <w:div w:id="628824518">
      <w:bodyDiv w:val="1"/>
      <w:marLeft w:val="0"/>
      <w:marRight w:val="0"/>
      <w:marTop w:val="0"/>
      <w:marBottom w:val="0"/>
      <w:divBdr>
        <w:top w:val="none" w:sz="0" w:space="0" w:color="auto"/>
        <w:left w:val="none" w:sz="0" w:space="0" w:color="auto"/>
        <w:bottom w:val="none" w:sz="0" w:space="0" w:color="auto"/>
        <w:right w:val="none" w:sz="0" w:space="0" w:color="auto"/>
      </w:divBdr>
    </w:div>
    <w:div w:id="827283888">
      <w:bodyDiv w:val="1"/>
      <w:marLeft w:val="0"/>
      <w:marRight w:val="0"/>
      <w:marTop w:val="0"/>
      <w:marBottom w:val="0"/>
      <w:divBdr>
        <w:top w:val="none" w:sz="0" w:space="0" w:color="auto"/>
        <w:left w:val="none" w:sz="0" w:space="0" w:color="auto"/>
        <w:bottom w:val="none" w:sz="0" w:space="0" w:color="auto"/>
        <w:right w:val="none" w:sz="0" w:space="0" w:color="auto"/>
      </w:divBdr>
    </w:div>
    <w:div w:id="1067652513">
      <w:bodyDiv w:val="1"/>
      <w:marLeft w:val="0"/>
      <w:marRight w:val="0"/>
      <w:marTop w:val="0"/>
      <w:marBottom w:val="0"/>
      <w:divBdr>
        <w:top w:val="none" w:sz="0" w:space="0" w:color="auto"/>
        <w:left w:val="none" w:sz="0" w:space="0" w:color="auto"/>
        <w:bottom w:val="none" w:sz="0" w:space="0" w:color="auto"/>
        <w:right w:val="none" w:sz="0" w:space="0" w:color="auto"/>
      </w:divBdr>
    </w:div>
    <w:div w:id="1142621709">
      <w:bodyDiv w:val="1"/>
      <w:marLeft w:val="0"/>
      <w:marRight w:val="0"/>
      <w:marTop w:val="0"/>
      <w:marBottom w:val="0"/>
      <w:divBdr>
        <w:top w:val="none" w:sz="0" w:space="0" w:color="auto"/>
        <w:left w:val="none" w:sz="0" w:space="0" w:color="auto"/>
        <w:bottom w:val="none" w:sz="0" w:space="0" w:color="auto"/>
        <w:right w:val="none" w:sz="0" w:space="0" w:color="auto"/>
      </w:divBdr>
    </w:div>
    <w:div w:id="1165125473">
      <w:bodyDiv w:val="1"/>
      <w:marLeft w:val="0"/>
      <w:marRight w:val="0"/>
      <w:marTop w:val="0"/>
      <w:marBottom w:val="0"/>
      <w:divBdr>
        <w:top w:val="none" w:sz="0" w:space="0" w:color="auto"/>
        <w:left w:val="none" w:sz="0" w:space="0" w:color="auto"/>
        <w:bottom w:val="none" w:sz="0" w:space="0" w:color="auto"/>
        <w:right w:val="none" w:sz="0" w:space="0" w:color="auto"/>
      </w:divBdr>
    </w:div>
    <w:div w:id="1521508429">
      <w:bodyDiv w:val="1"/>
      <w:marLeft w:val="0"/>
      <w:marRight w:val="0"/>
      <w:marTop w:val="0"/>
      <w:marBottom w:val="0"/>
      <w:divBdr>
        <w:top w:val="none" w:sz="0" w:space="0" w:color="auto"/>
        <w:left w:val="none" w:sz="0" w:space="0" w:color="auto"/>
        <w:bottom w:val="none" w:sz="0" w:space="0" w:color="auto"/>
        <w:right w:val="none" w:sz="0" w:space="0" w:color="auto"/>
      </w:divBdr>
    </w:div>
    <w:div w:id="1633444225">
      <w:bodyDiv w:val="1"/>
      <w:marLeft w:val="0"/>
      <w:marRight w:val="0"/>
      <w:marTop w:val="0"/>
      <w:marBottom w:val="0"/>
      <w:divBdr>
        <w:top w:val="none" w:sz="0" w:space="0" w:color="auto"/>
        <w:left w:val="none" w:sz="0" w:space="0" w:color="auto"/>
        <w:bottom w:val="none" w:sz="0" w:space="0" w:color="auto"/>
        <w:right w:val="none" w:sz="0" w:space="0" w:color="auto"/>
      </w:divBdr>
    </w:div>
    <w:div w:id="1715229004">
      <w:bodyDiv w:val="1"/>
      <w:marLeft w:val="0"/>
      <w:marRight w:val="0"/>
      <w:marTop w:val="0"/>
      <w:marBottom w:val="0"/>
      <w:divBdr>
        <w:top w:val="none" w:sz="0" w:space="0" w:color="auto"/>
        <w:left w:val="none" w:sz="0" w:space="0" w:color="auto"/>
        <w:bottom w:val="none" w:sz="0" w:space="0" w:color="auto"/>
        <w:right w:val="none" w:sz="0" w:space="0" w:color="auto"/>
      </w:divBdr>
    </w:div>
    <w:div w:id="1723359209">
      <w:bodyDiv w:val="1"/>
      <w:marLeft w:val="0"/>
      <w:marRight w:val="0"/>
      <w:marTop w:val="0"/>
      <w:marBottom w:val="0"/>
      <w:divBdr>
        <w:top w:val="none" w:sz="0" w:space="0" w:color="auto"/>
        <w:left w:val="none" w:sz="0" w:space="0" w:color="auto"/>
        <w:bottom w:val="none" w:sz="0" w:space="0" w:color="auto"/>
        <w:right w:val="none" w:sz="0" w:space="0" w:color="auto"/>
      </w:divBdr>
    </w:div>
    <w:div w:id="1739480042">
      <w:bodyDiv w:val="1"/>
      <w:marLeft w:val="0"/>
      <w:marRight w:val="0"/>
      <w:marTop w:val="0"/>
      <w:marBottom w:val="0"/>
      <w:divBdr>
        <w:top w:val="none" w:sz="0" w:space="0" w:color="auto"/>
        <w:left w:val="none" w:sz="0" w:space="0" w:color="auto"/>
        <w:bottom w:val="none" w:sz="0" w:space="0" w:color="auto"/>
        <w:right w:val="none" w:sz="0" w:space="0" w:color="auto"/>
      </w:divBdr>
    </w:div>
    <w:div w:id="1919897003">
      <w:bodyDiv w:val="1"/>
      <w:marLeft w:val="0"/>
      <w:marRight w:val="0"/>
      <w:marTop w:val="0"/>
      <w:marBottom w:val="0"/>
      <w:divBdr>
        <w:top w:val="none" w:sz="0" w:space="0" w:color="auto"/>
        <w:left w:val="none" w:sz="0" w:space="0" w:color="auto"/>
        <w:bottom w:val="none" w:sz="0" w:space="0" w:color="auto"/>
        <w:right w:val="none" w:sz="0" w:space="0" w:color="auto"/>
      </w:divBdr>
    </w:div>
    <w:div w:id="2057123021">
      <w:bodyDiv w:val="1"/>
      <w:marLeft w:val="0"/>
      <w:marRight w:val="0"/>
      <w:marTop w:val="0"/>
      <w:marBottom w:val="0"/>
      <w:divBdr>
        <w:top w:val="none" w:sz="0" w:space="0" w:color="auto"/>
        <w:left w:val="none" w:sz="0" w:space="0" w:color="auto"/>
        <w:bottom w:val="none" w:sz="0" w:space="0" w:color="auto"/>
        <w:right w:val="none" w:sz="0" w:space="0" w:color="auto"/>
      </w:divBdr>
    </w:div>
    <w:div w:id="20893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0715" TargetMode="External"/><Relationship Id="rId13" Type="http://schemas.openxmlformats.org/officeDocument/2006/relationships/hyperlink" Target="https://dit.consultant.ru/?rnd=7A47642AE10A1C805FDE4F15027FB012&amp;req=doc&amp;base=LAW&amp;n=326776&amp;dst=100012&amp;fld=134&amp;date=19.12.2019" TargetMode="External"/><Relationship Id="rId18" Type="http://schemas.openxmlformats.org/officeDocument/2006/relationships/hyperlink" Target="https://dit.consultant.ru/?rnd=7A47642AE10A1C805FDE4F15027FB012&amp;req=doc&amp;base=LAW&amp;n=324740&amp;dst=100028&amp;fld=134&amp;date=19.12.2019" TargetMode="External"/><Relationship Id="rId26" Type="http://schemas.openxmlformats.org/officeDocument/2006/relationships/hyperlink" Target="https://dit.consultant.ru/?rnd=7A47642AE10A1C805FDE4F15027FB012&amp;req=doc&amp;base=LAW&amp;n=324740&amp;dst=100797&amp;fld=134&amp;date=19.12.20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dit.consultant.ru/?rnd=7A47642AE10A1C805FDE4F15027FB012&amp;req=doc&amp;base=LAW&amp;n=324740&amp;dst=100299&amp;fld=134&amp;date=19.12.201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t.consultant.ru/?rnd=7A47642AE10A1C805FDE4F15027FB012&amp;req=doc&amp;base=LAW&amp;n=326776&amp;dst=100012&amp;fld=134&amp;date=19.12.2019" TargetMode="External"/><Relationship Id="rId17" Type="http://schemas.openxmlformats.org/officeDocument/2006/relationships/hyperlink" Target="consultantplus://offline/main?base=MLAW;n=121936;fld=134;dst=100011" TargetMode="External"/><Relationship Id="rId25" Type="http://schemas.openxmlformats.org/officeDocument/2006/relationships/hyperlink" Target="https://dit.consultant.ru/?rnd=7A47642AE10A1C805FDE4F15027FB012&amp;req=doc&amp;base=LAW&amp;n=324740&amp;dst=100475&amp;fld=134&amp;date=19.12.2019" TargetMode="External"/><Relationship Id="rId33" Type="http://schemas.openxmlformats.org/officeDocument/2006/relationships/hyperlink" Target="https://dit.consultant.ru/?rnd=7A47642AE10A1C805FDE4F15027FB012&amp;req=doc&amp;base=LAW&amp;n=336780&amp;dst=103434&amp;fld=134&amp;date=19.12.2019" TargetMode="External"/><Relationship Id="rId2" Type="http://schemas.openxmlformats.org/officeDocument/2006/relationships/numbering" Target="numbering.xml"/><Relationship Id="rId16" Type="http://schemas.openxmlformats.org/officeDocument/2006/relationships/hyperlink" Target="consultantplus://offline/main?base=LAW;n=108357;fld=134" TargetMode="External"/><Relationship Id="rId20" Type="http://schemas.openxmlformats.org/officeDocument/2006/relationships/hyperlink" Target="https://dit.consultant.ru/?rnd=7A47642AE10A1C805FDE4F15027FB012&amp;req=doc&amp;base=LAW&amp;n=324740&amp;dst=100224&amp;fld=134&amp;date=19.12.2019" TargetMode="External"/><Relationship Id="rId29" Type="http://schemas.openxmlformats.org/officeDocument/2006/relationships/hyperlink" Target="https://dit.consultant.ru/?rnd=7A47642AE10A1C805FDE4F15027FB012&amp;req=doc&amp;base=LAW&amp;n=324740&amp;dst=101064&amp;fld=134&amp;date=19.12.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5099;fld=134" TargetMode="External"/><Relationship Id="rId24" Type="http://schemas.openxmlformats.org/officeDocument/2006/relationships/hyperlink" Target="https://dit.consultant.ru/?rnd=7A47642AE10A1C805FDE4F15027FB012&amp;req=doc&amp;base=LAW&amp;n=324740&amp;dst=100456&amp;fld=134&amp;date=19.12.2019" TargetMode="External"/><Relationship Id="rId32" Type="http://schemas.openxmlformats.org/officeDocument/2006/relationships/hyperlink" Target="https://dit.consultant.ru/?rnd=7A47642AE10A1C805FDE4F15027FB012&amp;req=doc&amp;base=LAW&amp;n=336780&amp;dst=3146&amp;fld=134&amp;date=19.12.20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t.consultant.ru/?rnd=7A47642AE10A1C805FDE4F15027FB012&amp;req=doc&amp;base=LAW&amp;n=328515&amp;dst=100011&amp;fld=134&amp;date=19.12.2019" TargetMode="External"/><Relationship Id="rId23" Type="http://schemas.openxmlformats.org/officeDocument/2006/relationships/hyperlink" Target="https://dit.consultant.ru/?rnd=7A47642AE10A1C805FDE4F15027FB012&amp;req=doc&amp;base=LAW&amp;n=324740&amp;dst=100375&amp;fld=134&amp;date=19.12.2019" TargetMode="External"/><Relationship Id="rId28" Type="http://schemas.openxmlformats.org/officeDocument/2006/relationships/hyperlink" Target="https://dit.consultant.ru/?rnd=7A47642AE10A1C805FDE4F15027FB012&amp;req=doc&amp;base=LAW&amp;n=324740&amp;dst=100941&amp;fld=134&amp;date=19.12.2019" TargetMode="External"/><Relationship Id="rId36" Type="http://schemas.openxmlformats.org/officeDocument/2006/relationships/fontTable" Target="fontTable.xml"/><Relationship Id="rId10" Type="http://schemas.openxmlformats.org/officeDocument/2006/relationships/hyperlink" Target="https://dit.consultant.ru/?rnd=7A47642AE10A1C805FDE4F15027FB012&amp;req=doc&amp;base=LAW&amp;n=336780&amp;dst=951&amp;fld=134&amp;date=19.12.2019" TargetMode="External"/><Relationship Id="rId19" Type="http://schemas.openxmlformats.org/officeDocument/2006/relationships/hyperlink" Target="https://dit.consultant.ru/?rnd=7A47642AE10A1C805FDE4F15027FB012&amp;req=doc&amp;base=LAW&amp;n=324740&amp;dst=100171&amp;fld=134&amp;date=19.12.2019" TargetMode="External"/><Relationship Id="rId31" Type="http://schemas.openxmlformats.org/officeDocument/2006/relationships/hyperlink" Target="https://dit.consultant.ru/?rnd=7A47642AE10A1C805FDE4F15027FB012&amp;req=doc&amp;base=LAW&amp;n=324740&amp;dst=101157&amp;fld=134&amp;date=19.12.2019" TargetMode="External"/><Relationship Id="rId4" Type="http://schemas.openxmlformats.org/officeDocument/2006/relationships/settings" Target="settings.xml"/><Relationship Id="rId9" Type="http://schemas.openxmlformats.org/officeDocument/2006/relationships/hyperlink" Target="consultantplus://offline/main?base=LAW;n=112770;fld=134;dst=100750" TargetMode="External"/><Relationship Id="rId14" Type="http://schemas.openxmlformats.org/officeDocument/2006/relationships/hyperlink" Target="https://dit.consultant.ru/?rnd=7A47642AE10A1C805FDE4F15027FB012&amp;req=doc&amp;base=LAW&amp;n=326776&amp;dst=100012&amp;fld=134&amp;date=19.12.2019" TargetMode="External"/><Relationship Id="rId22" Type="http://schemas.openxmlformats.org/officeDocument/2006/relationships/hyperlink" Target="https://dit.consultant.ru/?rnd=7A47642AE10A1C805FDE4F15027FB012&amp;req=doc&amp;base=LAW&amp;n=324740&amp;dst=100314&amp;fld=134&amp;date=19.12.2019" TargetMode="External"/><Relationship Id="rId27" Type="http://schemas.openxmlformats.org/officeDocument/2006/relationships/hyperlink" Target="https://dit.consultant.ru/?rnd=7A47642AE10A1C805FDE4F15027FB012&amp;req=doc&amp;base=LAW&amp;n=324740&amp;dst=100899&amp;fld=134&amp;date=19.12.2019" TargetMode="External"/><Relationship Id="rId30" Type="http://schemas.openxmlformats.org/officeDocument/2006/relationships/hyperlink" Target="https://dit.consultant.ru/?rnd=7A47642AE10A1C805FDE4F15027FB012&amp;req=doc&amp;base=LAW&amp;n=324740&amp;dst=101109&amp;fld=134&amp;date=19.12.2019"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1896-6126-4121-8147-58B34AB6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11466</Words>
  <Characters>65357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И.В.</dc:creator>
  <cp:lastModifiedBy>1</cp:lastModifiedBy>
  <cp:revision>2</cp:revision>
  <dcterms:created xsi:type="dcterms:W3CDTF">2023-03-22T11:51:00Z</dcterms:created>
  <dcterms:modified xsi:type="dcterms:W3CDTF">2023-03-22T11:51:00Z</dcterms:modified>
</cp:coreProperties>
</file>